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7F812" w14:textId="77777777" w:rsidR="003C070B" w:rsidRDefault="00A43258" w:rsidP="003C070B">
      <w:pPr>
        <w:widowControl/>
        <w:autoSpaceDE/>
        <w:autoSpaceDN/>
        <w:spacing w:before="240"/>
        <w:jc w:val="center"/>
        <w:rPr>
          <w:rFonts w:ascii="Times New Roman" w:eastAsia="Times New Roman" w:hAnsi="Times New Roman" w:cs="Times New Roman"/>
          <w:b/>
          <w:bCs/>
        </w:rPr>
      </w:pPr>
      <w:r>
        <w:rPr>
          <w:rFonts w:ascii="Times New Roman" w:eastAsia="Times New Roman" w:hAnsi="Times New Roman" w:cs="Times New Roman"/>
          <w:b/>
          <w:bCs/>
          <w:noProof/>
        </w:rPr>
        <w:drawing>
          <wp:anchor distT="0" distB="0" distL="114300" distR="114300" simplePos="0" relativeHeight="251658240" behindDoc="0" locked="0" layoutInCell="1" allowOverlap="1" wp14:anchorId="5FECB64D" wp14:editId="764B97D2">
            <wp:simplePos x="0" y="0"/>
            <wp:positionH relativeFrom="column">
              <wp:posOffset>2087319</wp:posOffset>
            </wp:positionH>
            <wp:positionV relativeFrom="paragraph">
              <wp:posOffset>-327660</wp:posOffset>
            </wp:positionV>
            <wp:extent cx="1633038" cy="1220962"/>
            <wp:effectExtent l="0" t="0" r="5715" b="0"/>
            <wp:wrapNone/>
            <wp:docPr id="925319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319149"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633038" cy="1220962"/>
                    </a:xfrm>
                    <a:prstGeom prst="rect">
                      <a:avLst/>
                    </a:prstGeom>
                    <a:noFill/>
                  </pic:spPr>
                </pic:pic>
              </a:graphicData>
            </a:graphic>
            <wp14:sizeRelH relativeFrom="margin">
              <wp14:pctWidth>0</wp14:pctWidth>
            </wp14:sizeRelH>
            <wp14:sizeRelV relativeFrom="margin">
              <wp14:pctHeight>0</wp14:pctHeight>
            </wp14:sizeRelV>
          </wp:anchor>
        </w:drawing>
      </w:r>
    </w:p>
    <w:p w14:paraId="4B24A547" w14:textId="77777777" w:rsidR="006B113A" w:rsidRDefault="006B113A" w:rsidP="00BC0587">
      <w:pPr>
        <w:widowControl/>
        <w:autoSpaceDE/>
        <w:autoSpaceDN/>
        <w:spacing w:before="240"/>
        <w:jc w:val="center"/>
        <w:rPr>
          <w:rFonts w:asciiTheme="minorHAnsi" w:eastAsia="Times New Roman" w:hAnsiTheme="minorHAnsi" w:cstheme="minorHAnsi"/>
          <w:b/>
          <w:bCs/>
          <w:sz w:val="28"/>
          <w:szCs w:val="28"/>
        </w:rPr>
      </w:pPr>
    </w:p>
    <w:p w14:paraId="57E56D5B" w14:textId="77777777" w:rsidR="006B113A" w:rsidRPr="006B113A" w:rsidRDefault="006B113A" w:rsidP="00BC0587">
      <w:pPr>
        <w:widowControl/>
        <w:autoSpaceDE/>
        <w:autoSpaceDN/>
        <w:spacing w:before="240"/>
        <w:jc w:val="center"/>
        <w:rPr>
          <w:rFonts w:asciiTheme="minorHAnsi" w:eastAsia="Times New Roman" w:hAnsiTheme="minorHAnsi" w:cstheme="minorHAnsi"/>
          <w:b/>
          <w:bCs/>
          <w:sz w:val="10"/>
          <w:szCs w:val="10"/>
        </w:rPr>
      </w:pPr>
    </w:p>
    <w:p w14:paraId="13C0D471" w14:textId="77777777" w:rsidR="00640185" w:rsidRPr="00640185" w:rsidRDefault="00640185" w:rsidP="0002495F">
      <w:pPr>
        <w:widowControl/>
        <w:autoSpaceDE/>
        <w:autoSpaceDN/>
        <w:jc w:val="center"/>
        <w:rPr>
          <w:rFonts w:asciiTheme="minorHAnsi" w:eastAsia="Times New Roman" w:hAnsiTheme="minorHAnsi" w:cstheme="minorHAnsi"/>
          <w:b/>
          <w:bCs/>
          <w:sz w:val="20"/>
          <w:szCs w:val="20"/>
        </w:rPr>
      </w:pPr>
    </w:p>
    <w:p w14:paraId="466E4511" w14:textId="68D0224D" w:rsidR="0002495F" w:rsidRDefault="008E6244" w:rsidP="0002495F">
      <w:pPr>
        <w:widowControl/>
        <w:autoSpaceDE/>
        <w:autoSpaceDN/>
        <w:jc w:val="center"/>
        <w:rPr>
          <w:rFonts w:asciiTheme="minorHAnsi" w:eastAsia="Times New Roman" w:hAnsiTheme="minorHAnsi" w:cstheme="minorHAnsi"/>
          <w:b/>
          <w:bCs/>
          <w:sz w:val="28"/>
          <w:szCs w:val="28"/>
        </w:rPr>
      </w:pPr>
      <w:r w:rsidRPr="008E6244">
        <w:rPr>
          <w:rFonts w:asciiTheme="minorHAnsi" w:eastAsia="Times New Roman" w:hAnsiTheme="minorHAnsi" w:cstheme="minorHAnsi"/>
          <w:b/>
          <w:bCs/>
          <w:sz w:val="28"/>
          <w:szCs w:val="28"/>
        </w:rPr>
        <w:t xml:space="preserve">CHINA UNION AND LITHIUM CHILE RECEIVE </w:t>
      </w:r>
    </w:p>
    <w:p w14:paraId="1DD6FBEE" w14:textId="0216F980" w:rsidR="00BC0587" w:rsidRDefault="008E6244" w:rsidP="0002495F">
      <w:pPr>
        <w:widowControl/>
        <w:autoSpaceDE/>
        <w:autoSpaceDN/>
        <w:jc w:val="center"/>
        <w:rPr>
          <w:rFonts w:asciiTheme="minorHAnsi" w:eastAsia="Times New Roman" w:hAnsiTheme="minorHAnsi" w:cstheme="minorHAnsi"/>
          <w:b/>
          <w:bCs/>
          <w:sz w:val="28"/>
          <w:szCs w:val="28"/>
        </w:rPr>
      </w:pPr>
      <w:r w:rsidRPr="008E6244">
        <w:rPr>
          <w:rFonts w:asciiTheme="minorHAnsi" w:eastAsia="Times New Roman" w:hAnsiTheme="minorHAnsi" w:cstheme="minorHAnsi"/>
          <w:b/>
          <w:bCs/>
          <w:sz w:val="28"/>
          <w:szCs w:val="28"/>
        </w:rPr>
        <w:t>NOTICE UNDER THE INVESTMENT CANADA ACT</w:t>
      </w:r>
    </w:p>
    <w:p w14:paraId="7AFEFDD1" w14:textId="77777777" w:rsidR="0002495F" w:rsidRDefault="0002495F" w:rsidP="0002495F">
      <w:pPr>
        <w:widowControl/>
        <w:autoSpaceDE/>
        <w:autoSpaceDN/>
        <w:jc w:val="center"/>
        <w:rPr>
          <w:rFonts w:asciiTheme="minorHAnsi" w:eastAsia="Times New Roman" w:hAnsiTheme="minorHAnsi" w:cstheme="minorHAnsi"/>
          <w:b/>
          <w:bCs/>
          <w:sz w:val="28"/>
          <w:szCs w:val="28"/>
        </w:rPr>
      </w:pPr>
    </w:p>
    <w:p w14:paraId="24B9CE49" w14:textId="77777777" w:rsidR="0002495F" w:rsidRPr="006B113A" w:rsidRDefault="0002495F" w:rsidP="0002495F">
      <w:pPr>
        <w:widowControl/>
        <w:autoSpaceDE/>
        <w:autoSpaceDN/>
        <w:jc w:val="center"/>
        <w:rPr>
          <w:rFonts w:asciiTheme="minorHAnsi" w:eastAsia="Times New Roman" w:hAnsiTheme="minorHAnsi" w:cstheme="minorHAnsi"/>
          <w:b/>
          <w:bCs/>
          <w:sz w:val="16"/>
          <w:szCs w:val="16"/>
        </w:rPr>
      </w:pPr>
    </w:p>
    <w:p w14:paraId="5B8BA151" w14:textId="77777777" w:rsidR="003B208E" w:rsidRPr="00926D99" w:rsidRDefault="00A43258" w:rsidP="003B208E">
      <w:pPr>
        <w:rPr>
          <w:rFonts w:asciiTheme="minorHAnsi" w:hAnsiTheme="minorHAnsi" w:cstheme="minorHAnsi"/>
          <w:sz w:val="24"/>
          <w:szCs w:val="24"/>
        </w:rPr>
      </w:pPr>
      <w:r w:rsidRPr="00926D99">
        <w:rPr>
          <w:rFonts w:asciiTheme="minorHAnsi" w:hAnsiTheme="minorHAnsi" w:cstheme="minorHAnsi"/>
          <w:sz w:val="24"/>
          <w:szCs w:val="24"/>
        </w:rPr>
        <w:t xml:space="preserve">TSX Venture Exchange: LITH                                                     </w:t>
      </w:r>
      <w:r w:rsidRPr="00926D99">
        <w:rPr>
          <w:rFonts w:asciiTheme="minorHAnsi" w:hAnsiTheme="minorHAnsi" w:cstheme="minorHAnsi"/>
          <w:sz w:val="24"/>
          <w:szCs w:val="24"/>
        </w:rPr>
        <w:tab/>
        <w:t xml:space="preserve">                     </w:t>
      </w:r>
      <w:r w:rsidR="00A02DE5" w:rsidRPr="00926D99">
        <w:rPr>
          <w:rFonts w:asciiTheme="minorHAnsi" w:hAnsiTheme="minorHAnsi" w:cstheme="minorHAnsi"/>
          <w:sz w:val="24"/>
          <w:szCs w:val="24"/>
        </w:rPr>
        <w:t xml:space="preserve">    </w:t>
      </w:r>
      <w:r w:rsidRPr="00926D99">
        <w:rPr>
          <w:rFonts w:asciiTheme="minorHAnsi" w:hAnsiTheme="minorHAnsi" w:cstheme="minorHAnsi"/>
          <w:sz w:val="24"/>
          <w:szCs w:val="24"/>
        </w:rPr>
        <w:t>For Immediate Release</w:t>
      </w:r>
    </w:p>
    <w:p w14:paraId="09AFCED6" w14:textId="45B0C180" w:rsidR="00586976" w:rsidRDefault="00A43258" w:rsidP="00586976">
      <w:pPr>
        <w:rPr>
          <w:rFonts w:asciiTheme="minorHAnsi" w:hAnsiTheme="minorHAnsi" w:cstheme="minorHAnsi"/>
          <w:b/>
          <w:bCs/>
          <w:sz w:val="24"/>
          <w:szCs w:val="24"/>
        </w:rPr>
      </w:pPr>
      <w:r w:rsidRPr="00926D99">
        <w:rPr>
          <w:rFonts w:asciiTheme="minorHAnsi" w:hAnsiTheme="minorHAnsi" w:cstheme="minorHAnsi"/>
          <w:sz w:val="24"/>
          <w:szCs w:val="24"/>
        </w:rPr>
        <w:t>OTC-QB: LTMCF</w:t>
      </w:r>
    </w:p>
    <w:p w14:paraId="5274333A" w14:textId="2D0DE8FC" w:rsidR="00EF14A2" w:rsidRDefault="00A43258" w:rsidP="005A4093">
      <w:pPr>
        <w:spacing w:before="240"/>
        <w:jc w:val="both"/>
        <w:rPr>
          <w:rFonts w:asciiTheme="minorHAnsi" w:hAnsiTheme="minorHAnsi" w:cstheme="minorHAnsi"/>
          <w:sz w:val="24"/>
          <w:szCs w:val="24"/>
          <w:lang w:val="en-CA"/>
        </w:rPr>
      </w:pPr>
      <w:r w:rsidRPr="00926D99">
        <w:rPr>
          <w:rFonts w:asciiTheme="minorHAnsi" w:hAnsiTheme="minorHAnsi" w:cstheme="minorHAnsi"/>
          <w:b/>
          <w:bCs/>
          <w:sz w:val="24"/>
          <w:szCs w:val="24"/>
        </w:rPr>
        <w:t xml:space="preserve">CALGARY, ALBERTA, </w:t>
      </w:r>
      <w:r w:rsidR="003E3133">
        <w:rPr>
          <w:rFonts w:asciiTheme="minorHAnsi" w:hAnsiTheme="minorHAnsi" w:cstheme="minorHAnsi"/>
          <w:b/>
          <w:bCs/>
          <w:sz w:val="24"/>
          <w:szCs w:val="24"/>
        </w:rPr>
        <w:t>August 1</w:t>
      </w:r>
      <w:r w:rsidR="00C777C4">
        <w:rPr>
          <w:rFonts w:asciiTheme="minorHAnsi" w:hAnsiTheme="minorHAnsi" w:cstheme="minorHAnsi"/>
          <w:b/>
          <w:bCs/>
          <w:sz w:val="24"/>
          <w:szCs w:val="24"/>
        </w:rPr>
        <w:t>7</w:t>
      </w:r>
      <w:r w:rsidRPr="00926D99">
        <w:rPr>
          <w:rFonts w:asciiTheme="minorHAnsi" w:hAnsiTheme="minorHAnsi" w:cstheme="minorHAnsi"/>
          <w:b/>
          <w:bCs/>
          <w:sz w:val="24"/>
          <w:szCs w:val="24"/>
        </w:rPr>
        <w:t>, 2026</w:t>
      </w:r>
      <w:r w:rsidRPr="00926D99">
        <w:rPr>
          <w:rFonts w:asciiTheme="minorHAnsi" w:hAnsiTheme="minorHAnsi" w:cstheme="minorHAnsi"/>
          <w:sz w:val="24"/>
          <w:szCs w:val="24"/>
        </w:rPr>
        <w:t xml:space="preserve"> - Lithium Chile Inc. (“</w:t>
      </w:r>
      <w:r w:rsidRPr="00023142">
        <w:rPr>
          <w:rFonts w:asciiTheme="minorHAnsi" w:hAnsiTheme="minorHAnsi" w:cstheme="minorHAnsi"/>
          <w:b/>
          <w:bCs/>
          <w:sz w:val="24"/>
          <w:szCs w:val="24"/>
        </w:rPr>
        <w:t>Lithium Chile</w:t>
      </w:r>
      <w:r w:rsidRPr="00926D99">
        <w:rPr>
          <w:rFonts w:asciiTheme="minorHAnsi" w:hAnsiTheme="minorHAnsi" w:cstheme="minorHAnsi"/>
          <w:sz w:val="24"/>
          <w:szCs w:val="24"/>
        </w:rPr>
        <w:t>” or the “</w:t>
      </w:r>
      <w:r w:rsidRPr="00D171DC">
        <w:rPr>
          <w:rFonts w:asciiTheme="minorHAnsi" w:hAnsiTheme="minorHAnsi" w:cstheme="minorHAnsi"/>
          <w:b/>
          <w:bCs/>
          <w:sz w:val="24"/>
          <w:szCs w:val="24"/>
        </w:rPr>
        <w:t>Company</w:t>
      </w:r>
      <w:r w:rsidRPr="00926D99">
        <w:rPr>
          <w:rFonts w:asciiTheme="minorHAnsi" w:hAnsiTheme="minorHAnsi" w:cstheme="minorHAnsi"/>
          <w:sz w:val="24"/>
          <w:szCs w:val="24"/>
        </w:rPr>
        <w:t xml:space="preserve">”) </w:t>
      </w:r>
      <w:r w:rsidR="005A4093" w:rsidRPr="005A4093">
        <w:rPr>
          <w:rFonts w:asciiTheme="minorHAnsi" w:hAnsiTheme="minorHAnsi" w:cstheme="minorHAnsi"/>
          <w:sz w:val="24"/>
          <w:szCs w:val="24"/>
          <w:lang w:val="en-CA"/>
        </w:rPr>
        <w:t>and China Union Holdings Ltd. (“</w:t>
      </w:r>
      <w:r w:rsidR="005A4093" w:rsidRPr="005A4093">
        <w:rPr>
          <w:rFonts w:asciiTheme="minorHAnsi" w:hAnsiTheme="minorHAnsi" w:cstheme="minorHAnsi"/>
          <w:b/>
          <w:bCs/>
          <w:sz w:val="24"/>
          <w:szCs w:val="24"/>
          <w:lang w:val="en-CA"/>
        </w:rPr>
        <w:t>China Union</w:t>
      </w:r>
      <w:r w:rsidR="005A4093" w:rsidRPr="005A4093">
        <w:rPr>
          <w:rFonts w:asciiTheme="minorHAnsi" w:hAnsiTheme="minorHAnsi" w:cstheme="minorHAnsi"/>
          <w:sz w:val="24"/>
          <w:szCs w:val="24"/>
          <w:lang w:val="en-CA"/>
        </w:rPr>
        <w:t>” or “</w:t>
      </w:r>
      <w:r w:rsidR="005A4093" w:rsidRPr="005A4093">
        <w:rPr>
          <w:rFonts w:asciiTheme="minorHAnsi" w:hAnsiTheme="minorHAnsi" w:cstheme="minorHAnsi"/>
          <w:b/>
          <w:bCs/>
          <w:sz w:val="24"/>
          <w:szCs w:val="24"/>
          <w:lang w:val="en-CA"/>
        </w:rPr>
        <w:t>CUH</w:t>
      </w:r>
      <w:r w:rsidR="005A4093" w:rsidRPr="005A4093">
        <w:rPr>
          <w:rFonts w:asciiTheme="minorHAnsi" w:hAnsiTheme="minorHAnsi" w:cstheme="minorHAnsi"/>
          <w:sz w:val="24"/>
          <w:szCs w:val="24"/>
          <w:lang w:val="en-CA"/>
        </w:rPr>
        <w:t xml:space="preserve">”) have received a notice pursuant to subsection 25.2(1) of the </w:t>
      </w:r>
      <w:r w:rsidR="005A4093" w:rsidRPr="005A4093">
        <w:rPr>
          <w:rFonts w:asciiTheme="minorHAnsi" w:hAnsiTheme="minorHAnsi" w:cstheme="minorHAnsi"/>
          <w:i/>
          <w:iCs/>
          <w:sz w:val="24"/>
          <w:szCs w:val="24"/>
          <w:lang w:val="en-CA"/>
        </w:rPr>
        <w:t>Investment Canada Act</w:t>
      </w:r>
      <w:r w:rsidR="005A4093" w:rsidRPr="005A4093">
        <w:rPr>
          <w:rFonts w:asciiTheme="minorHAnsi" w:hAnsiTheme="minorHAnsi" w:cstheme="minorHAnsi"/>
          <w:sz w:val="24"/>
          <w:szCs w:val="24"/>
          <w:lang w:val="en-CA"/>
        </w:rPr>
        <w:t xml:space="preserve"> (the “</w:t>
      </w:r>
      <w:r w:rsidR="005A4093" w:rsidRPr="005A4093">
        <w:rPr>
          <w:rFonts w:asciiTheme="minorHAnsi" w:hAnsiTheme="minorHAnsi" w:cstheme="minorHAnsi"/>
          <w:b/>
          <w:bCs/>
          <w:sz w:val="24"/>
          <w:szCs w:val="24"/>
          <w:lang w:val="en-CA"/>
        </w:rPr>
        <w:t>ICA</w:t>
      </w:r>
      <w:r w:rsidR="005A4093" w:rsidRPr="005A4093">
        <w:rPr>
          <w:rFonts w:asciiTheme="minorHAnsi" w:hAnsiTheme="minorHAnsi" w:cstheme="minorHAnsi"/>
          <w:sz w:val="24"/>
          <w:szCs w:val="24"/>
          <w:lang w:val="en-CA"/>
        </w:rPr>
        <w:t>”) in connection with the proposed sale by Lithium Chile to China Union of all of the outstanding shares of Argentum Lithium S.A. (“</w:t>
      </w:r>
      <w:r w:rsidR="005A4093" w:rsidRPr="005A4093">
        <w:rPr>
          <w:rFonts w:asciiTheme="minorHAnsi" w:hAnsiTheme="minorHAnsi" w:cstheme="minorHAnsi"/>
          <w:b/>
          <w:bCs/>
          <w:sz w:val="24"/>
          <w:szCs w:val="24"/>
          <w:lang w:val="en-CA"/>
        </w:rPr>
        <w:t>Argentum</w:t>
      </w:r>
      <w:r w:rsidR="005A4093" w:rsidRPr="005A4093">
        <w:rPr>
          <w:rFonts w:asciiTheme="minorHAnsi" w:hAnsiTheme="minorHAnsi" w:cstheme="minorHAnsi"/>
          <w:sz w:val="24"/>
          <w:szCs w:val="24"/>
          <w:lang w:val="en-CA"/>
        </w:rPr>
        <w:t>”) (the “</w:t>
      </w:r>
      <w:r w:rsidR="005A4093" w:rsidRPr="005A4093">
        <w:rPr>
          <w:rFonts w:asciiTheme="minorHAnsi" w:hAnsiTheme="minorHAnsi" w:cstheme="minorHAnsi"/>
          <w:b/>
          <w:bCs/>
          <w:sz w:val="24"/>
          <w:szCs w:val="24"/>
          <w:lang w:val="en-CA"/>
        </w:rPr>
        <w:t>Transaction</w:t>
      </w:r>
      <w:r w:rsidR="005A4093" w:rsidRPr="005A4093">
        <w:rPr>
          <w:rFonts w:asciiTheme="minorHAnsi" w:hAnsiTheme="minorHAnsi" w:cstheme="minorHAnsi"/>
          <w:sz w:val="24"/>
          <w:szCs w:val="24"/>
          <w:lang w:val="en-CA"/>
        </w:rPr>
        <w:t>”).</w:t>
      </w:r>
    </w:p>
    <w:p w14:paraId="3930E001" w14:textId="74B76D05" w:rsidR="00EF14A2" w:rsidRPr="005A4093" w:rsidRDefault="00EF14A2" w:rsidP="005A4093">
      <w:pPr>
        <w:spacing w:before="240"/>
        <w:jc w:val="both"/>
        <w:rPr>
          <w:rFonts w:asciiTheme="minorHAnsi" w:hAnsiTheme="minorHAnsi" w:cstheme="minorHAnsi"/>
          <w:sz w:val="24"/>
          <w:szCs w:val="24"/>
          <w:lang w:val="en-CA"/>
        </w:rPr>
      </w:pPr>
      <w:r w:rsidRPr="00EF14A2">
        <w:rPr>
          <w:rFonts w:asciiTheme="minorHAnsi" w:hAnsiTheme="minorHAnsi" w:cstheme="minorHAnsi"/>
          <w:sz w:val="24"/>
          <w:szCs w:val="24"/>
        </w:rPr>
        <w:t xml:space="preserve">The Company originally announced the Transaction on December 22, 2025. Shortly thereafter, on January 7, 2026, the Company wrote to Innovation, Science and Economic Development Canada (“ISED”) setting out its position that Argentum is not a Canadian company, does not own Canadian assets, has no employees or place of business in Canada, and does not satisfy the criteria contemplated by paragraph 25.1(c) of the ICA. The Company did not receive a response to that letter prior to receipt of </w:t>
      </w:r>
      <w:proofErr w:type="gramStart"/>
      <w:r w:rsidRPr="00EF14A2">
        <w:rPr>
          <w:rFonts w:asciiTheme="minorHAnsi" w:hAnsiTheme="minorHAnsi" w:cstheme="minorHAnsi"/>
          <w:sz w:val="24"/>
          <w:szCs w:val="24"/>
        </w:rPr>
        <w:t>the section</w:t>
      </w:r>
      <w:proofErr w:type="gramEnd"/>
      <w:r w:rsidRPr="00EF14A2">
        <w:rPr>
          <w:rFonts w:asciiTheme="minorHAnsi" w:hAnsiTheme="minorHAnsi" w:cstheme="minorHAnsi"/>
          <w:sz w:val="24"/>
          <w:szCs w:val="24"/>
        </w:rPr>
        <w:t xml:space="preserve"> 25.2 notice.</w:t>
      </w:r>
    </w:p>
    <w:p w14:paraId="33C7DCD2" w14:textId="77777777" w:rsidR="005A4093" w:rsidRPr="005A4093" w:rsidRDefault="005A4093" w:rsidP="005A4093">
      <w:pPr>
        <w:spacing w:before="240"/>
        <w:jc w:val="both"/>
        <w:rPr>
          <w:rFonts w:asciiTheme="minorHAnsi" w:hAnsiTheme="minorHAnsi" w:cstheme="minorHAnsi"/>
          <w:sz w:val="24"/>
          <w:szCs w:val="24"/>
          <w:lang w:val="en-CA"/>
        </w:rPr>
      </w:pPr>
      <w:r w:rsidRPr="005A4093">
        <w:rPr>
          <w:rFonts w:asciiTheme="minorHAnsi" w:hAnsiTheme="minorHAnsi" w:cstheme="minorHAnsi"/>
          <w:sz w:val="24"/>
          <w:szCs w:val="24"/>
          <w:lang w:val="en-CA"/>
        </w:rPr>
        <w:t>The notice states that the Director of Investments has reasonable grounds to believe that the Transaction could be injurious to national security and that an order for further review of the Transaction may be made under subsection 25.3(1) of the ICA.</w:t>
      </w:r>
    </w:p>
    <w:p w14:paraId="175D5A38" w14:textId="77777777" w:rsidR="003008D8" w:rsidRPr="003008D8" w:rsidRDefault="003008D8" w:rsidP="003008D8">
      <w:pPr>
        <w:spacing w:before="240"/>
        <w:jc w:val="both"/>
        <w:rPr>
          <w:rFonts w:asciiTheme="minorHAnsi" w:hAnsiTheme="minorHAnsi" w:cstheme="minorHAnsi"/>
          <w:sz w:val="24"/>
          <w:szCs w:val="24"/>
          <w:lang w:val="en-CA"/>
        </w:rPr>
      </w:pPr>
      <w:r w:rsidRPr="003008D8">
        <w:rPr>
          <w:rFonts w:asciiTheme="minorHAnsi" w:hAnsiTheme="minorHAnsi" w:cstheme="minorHAnsi"/>
          <w:sz w:val="24"/>
          <w:szCs w:val="24"/>
          <w:lang w:val="en-CA"/>
        </w:rPr>
        <w:t>Lithium Chile and China Union are reviewing the notice with their respective legal advisors and considering the options available to them. Lithium Chile’s position is that the sale of a foreign asset is outside the jurisdiction of ISED and intends to forcefully advance that position and seek all remedies available.</w:t>
      </w:r>
    </w:p>
    <w:p w14:paraId="492B4388" w14:textId="5759BE43" w:rsidR="005A4093" w:rsidRPr="00C777C4" w:rsidRDefault="005A4093" w:rsidP="003E3133">
      <w:pPr>
        <w:spacing w:before="240"/>
        <w:jc w:val="both"/>
        <w:rPr>
          <w:rFonts w:asciiTheme="minorHAnsi" w:hAnsiTheme="minorHAnsi" w:cstheme="minorHAnsi"/>
          <w:sz w:val="24"/>
          <w:szCs w:val="24"/>
          <w:lang w:val="en-CA"/>
        </w:rPr>
      </w:pPr>
      <w:r w:rsidRPr="005A4093">
        <w:rPr>
          <w:rFonts w:asciiTheme="minorHAnsi" w:hAnsiTheme="minorHAnsi" w:cstheme="minorHAnsi"/>
          <w:sz w:val="24"/>
          <w:szCs w:val="24"/>
          <w:lang w:val="en-CA"/>
        </w:rPr>
        <w:t>The Company will provide further updates regarding the Transaction and the ICA process as material developments occur.</w:t>
      </w:r>
    </w:p>
    <w:p w14:paraId="1588882E" w14:textId="77777777" w:rsidR="00CE408A" w:rsidRDefault="00CE408A" w:rsidP="003C070B">
      <w:pPr>
        <w:widowControl/>
        <w:autoSpaceDE/>
        <w:autoSpaceDN/>
        <w:spacing w:before="240"/>
        <w:jc w:val="both"/>
        <w:rPr>
          <w:rFonts w:asciiTheme="minorHAnsi" w:eastAsia="Times New Roman" w:hAnsiTheme="minorHAnsi" w:cstheme="minorHAnsi"/>
          <w:b/>
          <w:bCs/>
          <w:sz w:val="2"/>
          <w:szCs w:val="2"/>
        </w:rPr>
      </w:pPr>
    </w:p>
    <w:p w14:paraId="552A5228" w14:textId="77777777" w:rsidR="00AD0CE2" w:rsidRPr="00204516" w:rsidRDefault="00AD0CE2" w:rsidP="003C070B">
      <w:pPr>
        <w:widowControl/>
        <w:autoSpaceDE/>
        <w:autoSpaceDN/>
        <w:spacing w:before="240"/>
        <w:jc w:val="both"/>
        <w:rPr>
          <w:rFonts w:asciiTheme="minorHAnsi" w:eastAsia="Times New Roman" w:hAnsiTheme="minorHAnsi" w:cstheme="minorHAnsi"/>
          <w:b/>
          <w:bCs/>
          <w:sz w:val="2"/>
          <w:szCs w:val="2"/>
        </w:rPr>
      </w:pPr>
    </w:p>
    <w:p w14:paraId="31DD105F" w14:textId="77777777" w:rsidR="003C070B" w:rsidRPr="00926D99" w:rsidRDefault="00A43258" w:rsidP="003C070B">
      <w:pPr>
        <w:widowControl/>
        <w:autoSpaceDE/>
        <w:autoSpaceDN/>
        <w:spacing w:before="240"/>
        <w:jc w:val="both"/>
        <w:rPr>
          <w:rFonts w:asciiTheme="minorHAnsi" w:eastAsia="Times New Roman" w:hAnsiTheme="minorHAnsi" w:cstheme="minorHAnsi"/>
          <w:b/>
          <w:bCs/>
          <w:sz w:val="24"/>
          <w:szCs w:val="24"/>
        </w:rPr>
      </w:pPr>
      <w:r w:rsidRPr="00926D99">
        <w:rPr>
          <w:rFonts w:asciiTheme="minorHAnsi" w:eastAsia="Times New Roman" w:hAnsiTheme="minorHAnsi" w:cstheme="minorHAnsi"/>
          <w:b/>
          <w:bCs/>
          <w:sz w:val="24"/>
          <w:szCs w:val="24"/>
        </w:rPr>
        <w:t xml:space="preserve">ABOUT LITHIUM CHILE </w:t>
      </w:r>
    </w:p>
    <w:p w14:paraId="08C9E72E" w14:textId="4BCE33BA" w:rsidR="003C070B" w:rsidRPr="00926D99" w:rsidRDefault="00A43258" w:rsidP="003C070B">
      <w:pPr>
        <w:widowControl/>
        <w:autoSpaceDE/>
        <w:autoSpaceDN/>
        <w:spacing w:before="240"/>
        <w:jc w:val="both"/>
        <w:rPr>
          <w:rFonts w:asciiTheme="minorHAnsi" w:eastAsia="Times New Roman" w:hAnsiTheme="minorHAnsi" w:cstheme="minorHAnsi"/>
          <w:sz w:val="24"/>
          <w:szCs w:val="24"/>
        </w:rPr>
      </w:pPr>
      <w:r w:rsidRPr="00926D99">
        <w:rPr>
          <w:rFonts w:asciiTheme="minorHAnsi" w:eastAsia="Times New Roman" w:hAnsiTheme="minorHAnsi" w:cstheme="minorHAnsi"/>
          <w:sz w:val="24"/>
          <w:szCs w:val="24"/>
        </w:rPr>
        <w:t xml:space="preserve">Lithium Chile Inc. is an exploration company with a portfolio of 11 properties spanning 106,136 hectares in Chile and 29,245 hectares on the Salar de Arizaro in Argentina. The Company has successfully advanced its </w:t>
      </w:r>
      <w:r w:rsidRPr="00BE525C">
        <w:rPr>
          <w:rFonts w:asciiTheme="minorHAnsi" w:eastAsia="Times New Roman" w:hAnsiTheme="minorHAnsi" w:cstheme="minorHAnsi"/>
          <w:sz w:val="24"/>
          <w:szCs w:val="24"/>
        </w:rPr>
        <w:t>Arizaro project</w:t>
      </w:r>
      <w:r w:rsidRPr="00926D99">
        <w:rPr>
          <w:rFonts w:asciiTheme="minorHAnsi" w:eastAsia="Times New Roman" w:hAnsiTheme="minorHAnsi" w:cstheme="minorHAnsi"/>
          <w:sz w:val="24"/>
          <w:szCs w:val="24"/>
        </w:rPr>
        <w:t xml:space="preserve"> with the completion of an NI 43-101 compliant Resource </w:t>
      </w:r>
      <w:r w:rsidRPr="00926D99">
        <w:rPr>
          <w:rFonts w:asciiTheme="minorHAnsi" w:eastAsia="Times New Roman" w:hAnsiTheme="minorHAnsi" w:cstheme="minorHAnsi"/>
          <w:sz w:val="24"/>
          <w:szCs w:val="24"/>
        </w:rPr>
        <w:lastRenderedPageBreak/>
        <w:t>Report, a Preliminary Economic Assessment and a Prefeasibility Study which are all accessible on Sedar</w:t>
      </w:r>
      <w:r w:rsidR="00161A2E">
        <w:rPr>
          <w:rFonts w:asciiTheme="minorHAnsi" w:eastAsia="Times New Roman" w:hAnsiTheme="minorHAnsi" w:cstheme="minorHAnsi"/>
          <w:sz w:val="24"/>
          <w:szCs w:val="24"/>
        </w:rPr>
        <w:t>+</w:t>
      </w:r>
      <w:r w:rsidRPr="00926D99">
        <w:rPr>
          <w:rFonts w:asciiTheme="minorHAnsi" w:eastAsia="Times New Roman" w:hAnsiTheme="minorHAnsi" w:cstheme="minorHAnsi"/>
          <w:sz w:val="24"/>
          <w:szCs w:val="24"/>
        </w:rPr>
        <w:t>.ca under Lithium Chile’s profile.</w:t>
      </w:r>
    </w:p>
    <w:p w14:paraId="44B67AF2" w14:textId="77777777" w:rsidR="003C070B" w:rsidRPr="00926D99" w:rsidRDefault="00A43258" w:rsidP="00586976">
      <w:pPr>
        <w:widowControl/>
        <w:autoSpaceDE/>
        <w:autoSpaceDN/>
        <w:spacing w:before="240" w:line="360" w:lineRule="auto"/>
        <w:jc w:val="both"/>
        <w:rPr>
          <w:rFonts w:asciiTheme="minorHAnsi" w:eastAsia="Times New Roman" w:hAnsiTheme="minorHAnsi" w:cstheme="minorHAnsi"/>
          <w:b/>
          <w:bCs/>
          <w:sz w:val="24"/>
          <w:szCs w:val="24"/>
        </w:rPr>
      </w:pPr>
      <w:r w:rsidRPr="00926D99">
        <w:rPr>
          <w:rFonts w:asciiTheme="minorHAnsi" w:eastAsia="Times New Roman" w:hAnsiTheme="minorHAnsi" w:cstheme="minorHAnsi"/>
          <w:b/>
          <w:bCs/>
          <w:sz w:val="24"/>
          <w:szCs w:val="24"/>
        </w:rPr>
        <w:t>ISSUER CONTACT</w:t>
      </w:r>
    </w:p>
    <w:p w14:paraId="27976856" w14:textId="77777777" w:rsidR="003C070B" w:rsidRPr="00586976" w:rsidRDefault="00A43258" w:rsidP="00586976">
      <w:pPr>
        <w:widowControl/>
        <w:autoSpaceDE/>
        <w:autoSpaceDN/>
        <w:spacing w:line="360" w:lineRule="auto"/>
        <w:jc w:val="both"/>
        <w:rPr>
          <w:rFonts w:asciiTheme="minorHAnsi" w:eastAsia="Times New Roman" w:hAnsiTheme="minorHAnsi" w:cstheme="minorHAnsi"/>
          <w:sz w:val="24"/>
          <w:szCs w:val="24"/>
        </w:rPr>
      </w:pPr>
      <w:r w:rsidRPr="00586976">
        <w:rPr>
          <w:rFonts w:asciiTheme="minorHAnsi" w:eastAsia="Times New Roman" w:hAnsiTheme="minorHAnsi" w:cstheme="minorHAnsi"/>
          <w:sz w:val="24"/>
          <w:szCs w:val="24"/>
        </w:rPr>
        <w:t xml:space="preserve">To find out more about Lithium Chile, please contact: </w:t>
      </w:r>
    </w:p>
    <w:p w14:paraId="768A7D96" w14:textId="77777777" w:rsidR="003C070B" w:rsidRPr="00586976" w:rsidRDefault="00A43258" w:rsidP="00586976">
      <w:pPr>
        <w:widowControl/>
        <w:autoSpaceDE/>
        <w:autoSpaceDN/>
        <w:spacing w:line="360" w:lineRule="auto"/>
        <w:jc w:val="both"/>
        <w:rPr>
          <w:rFonts w:asciiTheme="minorHAnsi" w:eastAsia="Times New Roman" w:hAnsiTheme="minorHAnsi" w:cstheme="minorHAnsi"/>
          <w:sz w:val="24"/>
          <w:szCs w:val="24"/>
        </w:rPr>
      </w:pPr>
      <w:r w:rsidRPr="00586976">
        <w:rPr>
          <w:rFonts w:asciiTheme="minorHAnsi" w:eastAsia="Times New Roman" w:hAnsiTheme="minorHAnsi" w:cstheme="minorHAnsi"/>
          <w:sz w:val="24"/>
          <w:szCs w:val="24"/>
        </w:rPr>
        <w:t xml:space="preserve">Steven Cochrane, President and CEO via email: </w:t>
      </w:r>
      <w:r w:rsidRPr="00586976">
        <w:rPr>
          <w:rFonts w:asciiTheme="minorHAnsi" w:eastAsia="Times New Roman" w:hAnsiTheme="minorHAnsi" w:cstheme="minorHAnsi"/>
          <w:sz w:val="24"/>
          <w:szCs w:val="24"/>
          <w:u w:val="single"/>
        </w:rPr>
        <w:t>steve@lithiumchile.ca</w:t>
      </w:r>
      <w:r w:rsidRPr="00586976">
        <w:rPr>
          <w:rFonts w:asciiTheme="minorHAnsi" w:eastAsia="Times New Roman" w:hAnsiTheme="minorHAnsi" w:cstheme="minorHAnsi"/>
          <w:sz w:val="24"/>
          <w:szCs w:val="24"/>
        </w:rPr>
        <w:t xml:space="preserve">, or </w:t>
      </w:r>
    </w:p>
    <w:p w14:paraId="3A00D53C" w14:textId="42ACA9EC" w:rsidR="003C070B" w:rsidRPr="00586976" w:rsidRDefault="00A43258" w:rsidP="00586976">
      <w:pPr>
        <w:widowControl/>
        <w:autoSpaceDE/>
        <w:autoSpaceDN/>
        <w:spacing w:line="360" w:lineRule="auto"/>
        <w:jc w:val="both"/>
        <w:rPr>
          <w:rFonts w:asciiTheme="minorHAnsi" w:eastAsia="Times New Roman" w:hAnsiTheme="minorHAnsi" w:cstheme="minorHAnsi"/>
          <w:sz w:val="24"/>
          <w:szCs w:val="24"/>
        </w:rPr>
      </w:pPr>
      <w:r w:rsidRPr="00586976">
        <w:rPr>
          <w:rFonts w:asciiTheme="minorHAnsi" w:eastAsia="Times New Roman" w:hAnsiTheme="minorHAnsi" w:cstheme="minorHAnsi"/>
          <w:sz w:val="24"/>
          <w:szCs w:val="24"/>
        </w:rPr>
        <w:t xml:space="preserve">Michelle DeCecco, COO via email: michelle@lithiumchile.ca or phone: </w:t>
      </w:r>
      <w:r w:rsidR="00161A2E" w:rsidRPr="00586976">
        <w:rPr>
          <w:rFonts w:asciiTheme="minorHAnsi" w:eastAsia="Times New Roman" w:hAnsiTheme="minorHAnsi" w:cstheme="minorHAnsi"/>
          <w:sz w:val="24"/>
          <w:szCs w:val="24"/>
        </w:rPr>
        <w:t xml:space="preserve">+1 </w:t>
      </w:r>
      <w:r w:rsidR="00C4125B" w:rsidRPr="00586976">
        <w:rPr>
          <w:rFonts w:asciiTheme="minorHAnsi" w:eastAsia="Times New Roman" w:hAnsiTheme="minorHAnsi" w:cstheme="minorHAnsi"/>
          <w:sz w:val="24"/>
          <w:szCs w:val="24"/>
        </w:rPr>
        <w:t>587-</w:t>
      </w:r>
      <w:r w:rsidR="007F222C" w:rsidRPr="00586976">
        <w:rPr>
          <w:rFonts w:asciiTheme="minorHAnsi" w:eastAsia="Times New Roman" w:hAnsiTheme="minorHAnsi" w:cstheme="minorHAnsi"/>
          <w:sz w:val="24"/>
          <w:szCs w:val="24"/>
        </w:rPr>
        <w:t>287-9355</w:t>
      </w:r>
    </w:p>
    <w:p w14:paraId="4D012E72" w14:textId="77777777" w:rsidR="00CE408A" w:rsidRDefault="00CE408A" w:rsidP="003C070B">
      <w:pPr>
        <w:widowControl/>
        <w:autoSpaceDE/>
        <w:autoSpaceDN/>
        <w:spacing w:before="240"/>
        <w:jc w:val="both"/>
        <w:rPr>
          <w:rFonts w:asciiTheme="minorHAnsi" w:eastAsia="Times New Roman" w:hAnsiTheme="minorHAnsi" w:cstheme="minorHAnsi"/>
          <w:b/>
          <w:bCs/>
        </w:rPr>
      </w:pPr>
    </w:p>
    <w:p w14:paraId="6CF81CBD" w14:textId="4F4BF2C7" w:rsidR="006B1A84" w:rsidRPr="006B1A84" w:rsidRDefault="00A43258" w:rsidP="006B1A84">
      <w:pPr>
        <w:widowControl/>
        <w:autoSpaceDE/>
        <w:autoSpaceDN/>
        <w:spacing w:before="240"/>
        <w:jc w:val="both"/>
        <w:rPr>
          <w:rFonts w:asciiTheme="minorHAnsi" w:eastAsia="Times New Roman" w:hAnsiTheme="minorHAnsi" w:cstheme="minorHAnsi"/>
        </w:rPr>
      </w:pPr>
      <w:r w:rsidRPr="00A02DE5">
        <w:rPr>
          <w:rFonts w:asciiTheme="minorHAnsi" w:eastAsia="Times New Roman" w:hAnsiTheme="minorHAnsi" w:cstheme="minorHAnsi"/>
          <w:b/>
          <w:bCs/>
        </w:rPr>
        <w:t xml:space="preserve">FORWARD LOOKING STATEMENTS AND RISK FACTORS: </w:t>
      </w:r>
    </w:p>
    <w:p w14:paraId="5D282227" w14:textId="77777777" w:rsidR="006A594C" w:rsidRPr="006A594C" w:rsidRDefault="006A594C" w:rsidP="006A594C">
      <w:pPr>
        <w:widowControl/>
        <w:autoSpaceDE/>
        <w:autoSpaceDN/>
        <w:spacing w:before="240"/>
        <w:jc w:val="both"/>
        <w:rPr>
          <w:rFonts w:asciiTheme="minorHAnsi" w:eastAsia="Times New Roman" w:hAnsiTheme="minorHAnsi" w:cstheme="minorHAnsi"/>
          <w:lang w:val="en-CA"/>
        </w:rPr>
      </w:pPr>
      <w:r w:rsidRPr="006A594C">
        <w:rPr>
          <w:rFonts w:asciiTheme="minorHAnsi" w:eastAsia="Times New Roman" w:hAnsiTheme="minorHAnsi" w:cstheme="minorHAnsi"/>
          <w:lang w:val="en-CA"/>
        </w:rPr>
        <w:t>This news release contains certain statements that may constitute “forward-looking information” within the meaning of applicable Canadian securities laws. Forward-looking information in this news release includes, but is not limited to, statements regarding the proposed sale of the shares of Argentum to China Union; the process under the ICA; the possibility of an order for further review being made under subsection 25.3(1) of the ICA; the parties’ engagement with ISED; the options available to the parties in response to the notice; and the ability of the parties to complete the Transaction on the terms contemplated, or at all.</w:t>
      </w:r>
    </w:p>
    <w:p w14:paraId="67B30A0F" w14:textId="77777777" w:rsidR="006A594C" w:rsidRPr="006A594C" w:rsidRDefault="006A594C" w:rsidP="006A594C">
      <w:pPr>
        <w:widowControl/>
        <w:autoSpaceDE/>
        <w:autoSpaceDN/>
        <w:spacing w:before="240"/>
        <w:jc w:val="both"/>
        <w:rPr>
          <w:rFonts w:asciiTheme="minorHAnsi" w:eastAsia="Times New Roman" w:hAnsiTheme="minorHAnsi" w:cstheme="minorHAnsi"/>
          <w:lang w:val="en-CA"/>
        </w:rPr>
      </w:pPr>
      <w:r w:rsidRPr="006A594C">
        <w:rPr>
          <w:rFonts w:asciiTheme="minorHAnsi" w:eastAsia="Times New Roman" w:hAnsiTheme="minorHAnsi" w:cstheme="minorHAnsi"/>
          <w:lang w:val="en-CA"/>
        </w:rPr>
        <w:t>Forward-looking information is based on management’s current expectations, estimates, assumptions and projections and is subject to known and unknown risks, uncertainties and other factors that may cause actual results or events to differ materially from those expressed or implied by such forward-looking information. Such risks and uncertainties include, without limitation, the possibility that an order for further review may be made under the ICA; the timing and outcome of the ICA process; the possibility that conditions, undertakings or other requirements may be imposed in connection with the Transaction; the possibility that the Transaction may be delayed, modified or not completed; and other risks described in the Company’s continuous disclosure filings available under its profile on SEDAR+.</w:t>
      </w:r>
    </w:p>
    <w:p w14:paraId="5A95BDC2" w14:textId="77777777" w:rsidR="006A594C" w:rsidRPr="006A594C" w:rsidRDefault="006A594C" w:rsidP="006A594C">
      <w:pPr>
        <w:widowControl/>
        <w:autoSpaceDE/>
        <w:autoSpaceDN/>
        <w:spacing w:before="240"/>
        <w:jc w:val="both"/>
        <w:rPr>
          <w:rFonts w:asciiTheme="minorHAnsi" w:eastAsia="Times New Roman" w:hAnsiTheme="minorHAnsi" w:cstheme="minorHAnsi"/>
          <w:lang w:val="en-CA"/>
        </w:rPr>
      </w:pPr>
      <w:r w:rsidRPr="006A594C">
        <w:rPr>
          <w:rFonts w:asciiTheme="minorHAnsi" w:eastAsia="Times New Roman" w:hAnsiTheme="minorHAnsi" w:cstheme="minorHAnsi"/>
          <w:lang w:val="en-CA"/>
        </w:rPr>
        <w:t>Although the Company believes that the expectations and assumptions reflected in such forward-looking information are reasonable, undue reliance should not be placed on forward-looking information because the Company can give no assurance that such expectations will prove to be correct. The forward-looking information contained in this news release is provided as of the date hereof, and the Company undertakes no obligation to update or revise such information to reflect new events or circumstances, except as required by applicable securities laws.</w:t>
      </w:r>
    </w:p>
    <w:p w14:paraId="17B04250" w14:textId="77777777" w:rsidR="00B14028" w:rsidRPr="009E3139" w:rsidRDefault="00B14028" w:rsidP="006B1A84">
      <w:pPr>
        <w:widowControl/>
        <w:autoSpaceDE/>
        <w:autoSpaceDN/>
        <w:spacing w:before="240"/>
        <w:jc w:val="both"/>
        <w:rPr>
          <w:rFonts w:asciiTheme="minorHAnsi" w:eastAsia="Times New Roman" w:hAnsiTheme="minorHAnsi" w:cstheme="minorHAnsi"/>
          <w:i/>
          <w:iCs/>
          <w:lang w:val="en-CA"/>
        </w:rPr>
      </w:pPr>
    </w:p>
    <w:sectPr w:rsidR="00B14028" w:rsidRPr="009E3139" w:rsidSect="00332DC6">
      <w:footerReference w:type="even" r:id="rId10"/>
      <w:footerReference w:type="default" r:id="rId11"/>
      <w:footerReference w:type="first" r:id="rId12"/>
      <w:pgSz w:w="12240" w:h="15840" w:code="1"/>
      <w:pgMar w:top="1440" w:right="1440" w:bottom="1440" w:left="1440" w:header="720" w:footer="720" w:gutter="0"/>
      <w:paperSrc w:first="1" w:other="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A80E" w14:textId="77777777" w:rsidR="003E5529" w:rsidRDefault="003E5529">
      <w:r>
        <w:separator/>
      </w:r>
    </w:p>
  </w:endnote>
  <w:endnote w:type="continuationSeparator" w:id="0">
    <w:p w14:paraId="1B0FEEC1" w14:textId="77777777" w:rsidR="003E5529" w:rsidRDefault="003E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00000000"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f5cc0a0f-1c6f-4a8b-9145-0c28"/>
  <w:p w14:paraId="7194E307" w14:textId="77777777" w:rsidR="00DA6DEF" w:rsidRDefault="00A43258">
    <w:pPr>
      <w:pStyle w:val="DocID"/>
    </w:pPr>
    <w:r>
      <w:fldChar w:fldCharType="begin"/>
    </w:r>
    <w:r>
      <w:instrText xml:space="preserve">  DOCPROPERTY "CUS_DocIDChunk0" </w:instrText>
    </w:r>
    <w:r>
      <w:fldChar w:fldCharType="separate"/>
    </w:r>
    <w:r>
      <w:rPr>
        <w:noProof/>
      </w:rPr>
      <w:t>46488247</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D976" w14:textId="77777777" w:rsidR="00DA6DEF" w:rsidRPr="00390C58" w:rsidRDefault="00A43258" w:rsidP="00F832A5">
    <w:pPr>
      <w:pStyle w:val="Footer"/>
      <w:tabs>
        <w:tab w:val="clear" w:pos="4320"/>
        <w:tab w:val="clear" w:pos="8640"/>
        <w:tab w:val="center" w:pos="4680"/>
        <w:tab w:val="right" w:pos="9360"/>
      </w:tabs>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14:paraId="030F5500" w14:textId="50A55099" w:rsidR="00DA6DEF" w:rsidRDefault="00A43258">
    <w:pPr>
      <w:pStyle w:val="DocID"/>
    </w:pPr>
    <w:r>
      <w:t>0</w:t>
    </w:r>
    <w:r w:rsidR="00267F0C">
      <w:t>81726M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2BCD4" w14:textId="23193F80" w:rsidR="00DA6DEF" w:rsidRPr="00A00EE8" w:rsidRDefault="00A00EE8">
    <w:pPr>
      <w:pStyle w:val="DocID"/>
      <w:rPr>
        <w:lang w:val="en-CA"/>
      </w:rPr>
    </w:pPr>
    <w:r>
      <w:rPr>
        <w:lang w:val="en-CA"/>
      </w:rPr>
      <w:t>081420261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1CF30" w14:textId="77777777" w:rsidR="003E5529" w:rsidRDefault="003E5529">
      <w:r>
        <w:separator/>
      </w:r>
    </w:p>
  </w:footnote>
  <w:footnote w:type="continuationSeparator" w:id="0">
    <w:p w14:paraId="411321CD" w14:textId="77777777" w:rsidR="003E5529" w:rsidRDefault="003E55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9D0E44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E364E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FBA7CD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128F8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BED65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5F260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468E6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B40EA8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D239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6E67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EB5AA8"/>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abstractNum w:abstractNumId="11" w15:restartNumberingAfterBreak="0">
    <w:nsid w:val="2A373242"/>
    <w:multiLevelType w:val="multilevel"/>
    <w:tmpl w:val="E91A1F74"/>
    <w:lvl w:ilvl="0">
      <w:start w:val="1"/>
      <w:numFmt w:val="decimal"/>
      <w:pStyle w:val="Heading1"/>
      <w:lvlText w:val="%1."/>
      <w:lvlJc w:val="left"/>
      <w:pPr>
        <w:tabs>
          <w:tab w:val="num" w:pos="720"/>
        </w:tabs>
        <w:ind w:left="720" w:hanging="720"/>
      </w:pPr>
      <w:rPr>
        <w:rFonts w:hint="default"/>
        <w:vanish w:val="0"/>
        <w:u w:val="none"/>
      </w:rPr>
    </w:lvl>
    <w:lvl w:ilvl="1">
      <w:start w:val="1"/>
      <w:numFmt w:val="lowerLetter"/>
      <w:pStyle w:val="Heading2"/>
      <w:lvlText w:val="%2."/>
      <w:lvlJc w:val="left"/>
      <w:pPr>
        <w:tabs>
          <w:tab w:val="num" w:pos="1440"/>
        </w:tabs>
        <w:ind w:left="1440" w:hanging="720"/>
      </w:pPr>
      <w:rPr>
        <w:rFonts w:hint="default"/>
        <w:vanish w:val="0"/>
        <w:u w:val="none"/>
      </w:rPr>
    </w:lvl>
    <w:lvl w:ilvl="2">
      <w:start w:val="1"/>
      <w:numFmt w:val="lowerRoman"/>
      <w:pStyle w:val="Heading3"/>
      <w:lvlText w:val="%3."/>
      <w:lvlJc w:val="left"/>
      <w:pPr>
        <w:tabs>
          <w:tab w:val="num" w:pos="2160"/>
        </w:tabs>
        <w:ind w:left="2160" w:hanging="720"/>
      </w:pPr>
      <w:rPr>
        <w:rFonts w:hint="default"/>
        <w:vanish w:val="0"/>
        <w:u w:val="none"/>
      </w:rPr>
    </w:lvl>
    <w:lvl w:ilvl="3">
      <w:start w:val="1"/>
      <w:numFmt w:val="lowerLetter"/>
      <w:pStyle w:val="Heading4"/>
      <w:lvlText w:val="%4)"/>
      <w:lvlJc w:val="left"/>
      <w:pPr>
        <w:tabs>
          <w:tab w:val="num" w:pos="2880"/>
        </w:tabs>
        <w:ind w:left="2880" w:hanging="720"/>
      </w:pPr>
      <w:rPr>
        <w:rFonts w:hint="default"/>
        <w:vanish w:val="0"/>
        <w:u w:val="none"/>
      </w:rPr>
    </w:lvl>
    <w:lvl w:ilvl="4">
      <w:start w:val="1"/>
      <w:numFmt w:val="lowerRoman"/>
      <w:pStyle w:val="Heading5"/>
      <w:lvlText w:val="%5)"/>
      <w:lvlJc w:val="left"/>
      <w:pPr>
        <w:tabs>
          <w:tab w:val="num" w:pos="3600"/>
        </w:tabs>
        <w:ind w:left="3600" w:hanging="720"/>
      </w:pPr>
      <w:rPr>
        <w:rFonts w:hint="default"/>
        <w:vanish w:val="0"/>
        <w:u w:val="none"/>
      </w:rPr>
    </w:lvl>
    <w:lvl w:ilvl="5">
      <w:start w:val="1"/>
      <w:numFmt w:val="lowerLetter"/>
      <w:lvlRestart w:val="0"/>
      <w:pStyle w:val="Heading6"/>
      <w:lvlText w:val="(%6)"/>
      <w:lvlJc w:val="left"/>
      <w:pPr>
        <w:tabs>
          <w:tab w:val="num" w:pos="4320"/>
        </w:tabs>
        <w:ind w:left="4320" w:hanging="720"/>
      </w:pPr>
      <w:rPr>
        <w:rFonts w:hint="default"/>
        <w:vanish w:val="0"/>
        <w:u w:val="none"/>
      </w:rPr>
    </w:lvl>
    <w:lvl w:ilvl="6">
      <w:start w:val="1"/>
      <w:numFmt w:val="upperRoman"/>
      <w:pStyle w:val="Heading7"/>
      <w:lvlText w:val="%7."/>
      <w:lvlJc w:val="left"/>
      <w:pPr>
        <w:tabs>
          <w:tab w:val="num" w:pos="1440"/>
        </w:tabs>
        <w:ind w:left="1440" w:hanging="720"/>
      </w:pPr>
      <w:rPr>
        <w:rFonts w:hint="default"/>
        <w:vanish w:val="0"/>
        <w:u w:val="none"/>
      </w:rPr>
    </w:lvl>
    <w:lvl w:ilvl="7">
      <w:start w:val="1"/>
      <w:numFmt w:val="upperLetter"/>
      <w:pStyle w:val="Heading8"/>
      <w:lvlText w:val="%8."/>
      <w:lvlJc w:val="left"/>
      <w:pPr>
        <w:tabs>
          <w:tab w:val="num" w:pos="2160"/>
        </w:tabs>
        <w:ind w:left="2160" w:hanging="720"/>
      </w:pPr>
      <w:rPr>
        <w:rFonts w:hint="default"/>
        <w:vanish w:val="0"/>
        <w:u w:val="none"/>
      </w:rPr>
    </w:lvl>
    <w:lvl w:ilvl="8">
      <w:start w:val="1"/>
      <w:numFmt w:val="decimal"/>
      <w:pStyle w:val="Heading9"/>
      <w:lvlText w:val="%9."/>
      <w:lvlJc w:val="left"/>
      <w:pPr>
        <w:tabs>
          <w:tab w:val="num" w:pos="2880"/>
        </w:tabs>
        <w:ind w:left="2880" w:hanging="720"/>
      </w:pPr>
      <w:rPr>
        <w:rFonts w:hint="default"/>
        <w:vanish w:val="0"/>
        <w:u w:val="none"/>
      </w:rPr>
    </w:lvl>
  </w:abstractNum>
  <w:abstractNum w:abstractNumId="12" w15:restartNumberingAfterBreak="0">
    <w:nsid w:val="2B4E0907"/>
    <w:multiLevelType w:val="multilevel"/>
    <w:tmpl w:val="F99203A4"/>
    <w:lvl w:ilvl="0">
      <w:start w:val="1"/>
      <w:numFmt w:val="decimal"/>
      <w:lvlText w:val="%1."/>
      <w:lvlJc w:val="left"/>
      <w:pPr>
        <w:tabs>
          <w:tab w:val="num" w:pos="720"/>
        </w:tabs>
        <w:ind w:left="720" w:hanging="720"/>
      </w:pPr>
      <w:rPr>
        <w:rFonts w:hint="default"/>
        <w:vanish w:val="0"/>
        <w:u w:val="none"/>
      </w:rPr>
    </w:lvl>
    <w:lvl w:ilvl="1">
      <w:start w:val="1"/>
      <w:numFmt w:val="lowerLetter"/>
      <w:lvlText w:val="%2."/>
      <w:lvlJc w:val="left"/>
      <w:pPr>
        <w:tabs>
          <w:tab w:val="num" w:pos="1440"/>
        </w:tabs>
        <w:ind w:left="1440" w:hanging="720"/>
      </w:pPr>
      <w:rPr>
        <w:rFonts w:hint="default"/>
        <w:vanish w:val="0"/>
        <w:u w:val="none"/>
      </w:rPr>
    </w:lvl>
    <w:lvl w:ilvl="2">
      <w:start w:val="1"/>
      <w:numFmt w:val="lowerRoman"/>
      <w:lvlText w:val="%3."/>
      <w:lvlJc w:val="left"/>
      <w:pPr>
        <w:tabs>
          <w:tab w:val="num" w:pos="2160"/>
        </w:tabs>
        <w:ind w:left="2160" w:hanging="720"/>
      </w:pPr>
      <w:rPr>
        <w:rFonts w:hint="default"/>
        <w:vanish w:val="0"/>
        <w:u w:val="none"/>
      </w:rPr>
    </w:lvl>
    <w:lvl w:ilvl="3">
      <w:start w:val="1"/>
      <w:numFmt w:val="lowerLetter"/>
      <w:lvlText w:val="%4)"/>
      <w:lvlJc w:val="left"/>
      <w:pPr>
        <w:tabs>
          <w:tab w:val="num" w:pos="2880"/>
        </w:tabs>
        <w:ind w:left="2880" w:hanging="720"/>
      </w:pPr>
      <w:rPr>
        <w:rFonts w:hint="default"/>
        <w:vanish w:val="0"/>
        <w:u w:val="none"/>
      </w:rPr>
    </w:lvl>
    <w:lvl w:ilvl="4">
      <w:start w:val="1"/>
      <w:numFmt w:val="lowerRoman"/>
      <w:lvlText w:val="%5)"/>
      <w:lvlJc w:val="left"/>
      <w:pPr>
        <w:tabs>
          <w:tab w:val="num" w:pos="3600"/>
        </w:tabs>
        <w:ind w:left="3600" w:hanging="720"/>
      </w:pPr>
      <w:rPr>
        <w:rFonts w:hint="default"/>
        <w:vanish w:val="0"/>
        <w:u w:val="none"/>
      </w:rPr>
    </w:lvl>
    <w:lvl w:ilvl="5">
      <w:start w:val="1"/>
      <w:numFmt w:val="lowerLetter"/>
      <w:lvlRestart w:val="0"/>
      <w:lvlText w:val="(%6)"/>
      <w:lvlJc w:val="left"/>
      <w:pPr>
        <w:tabs>
          <w:tab w:val="num" w:pos="4320"/>
        </w:tabs>
        <w:ind w:left="4320" w:hanging="720"/>
      </w:pPr>
      <w:rPr>
        <w:rFonts w:hint="default"/>
        <w:vanish w:val="0"/>
        <w:u w:val="none"/>
      </w:rPr>
    </w:lvl>
    <w:lvl w:ilvl="6">
      <w:start w:val="1"/>
      <w:numFmt w:val="upperRoman"/>
      <w:lvlText w:val="%7."/>
      <w:lvlJc w:val="left"/>
      <w:pPr>
        <w:tabs>
          <w:tab w:val="num" w:pos="1440"/>
        </w:tabs>
        <w:ind w:left="1440" w:hanging="720"/>
      </w:pPr>
      <w:rPr>
        <w:rFonts w:hint="default"/>
        <w:vanish w:val="0"/>
        <w:u w:val="none"/>
      </w:rPr>
    </w:lvl>
    <w:lvl w:ilvl="7">
      <w:start w:val="1"/>
      <w:numFmt w:val="upperLetter"/>
      <w:lvlText w:val="%8."/>
      <w:lvlJc w:val="left"/>
      <w:pPr>
        <w:tabs>
          <w:tab w:val="num" w:pos="2160"/>
        </w:tabs>
        <w:ind w:left="2160" w:hanging="720"/>
      </w:pPr>
      <w:rPr>
        <w:rFonts w:hint="default"/>
        <w:vanish w:val="0"/>
        <w:u w:val="none"/>
      </w:rPr>
    </w:lvl>
    <w:lvl w:ilvl="8">
      <w:start w:val="1"/>
      <w:numFmt w:val="decimal"/>
      <w:lvlText w:val="%9."/>
      <w:lvlJc w:val="left"/>
      <w:pPr>
        <w:tabs>
          <w:tab w:val="num" w:pos="2880"/>
        </w:tabs>
        <w:ind w:left="2880" w:hanging="720"/>
      </w:pPr>
      <w:rPr>
        <w:rFonts w:hint="default"/>
        <w:vanish w:val="0"/>
        <w:u w:val="none"/>
      </w:rPr>
    </w:lvl>
  </w:abstractNum>
  <w:num w:numId="1" w16cid:durableId="1612740686">
    <w:abstractNumId w:val="11"/>
  </w:num>
  <w:num w:numId="2" w16cid:durableId="852259981">
    <w:abstractNumId w:val="11"/>
  </w:num>
  <w:num w:numId="3" w16cid:durableId="671834108">
    <w:abstractNumId w:val="11"/>
  </w:num>
  <w:num w:numId="4" w16cid:durableId="585264888">
    <w:abstractNumId w:val="11"/>
  </w:num>
  <w:num w:numId="5" w16cid:durableId="663511182">
    <w:abstractNumId w:val="11"/>
  </w:num>
  <w:num w:numId="6" w16cid:durableId="1527140691">
    <w:abstractNumId w:val="11"/>
  </w:num>
  <w:num w:numId="7" w16cid:durableId="612521566">
    <w:abstractNumId w:val="11"/>
  </w:num>
  <w:num w:numId="8" w16cid:durableId="1093013035">
    <w:abstractNumId w:val="11"/>
  </w:num>
  <w:num w:numId="9" w16cid:durableId="435712400">
    <w:abstractNumId w:val="11"/>
  </w:num>
  <w:num w:numId="10" w16cid:durableId="1438061087">
    <w:abstractNumId w:val="11"/>
  </w:num>
  <w:num w:numId="11" w16cid:durableId="281420556">
    <w:abstractNumId w:val="11"/>
  </w:num>
  <w:num w:numId="12" w16cid:durableId="584194844">
    <w:abstractNumId w:val="11"/>
  </w:num>
  <w:num w:numId="13" w16cid:durableId="2021009982">
    <w:abstractNumId w:val="11"/>
  </w:num>
  <w:num w:numId="14" w16cid:durableId="698161673">
    <w:abstractNumId w:val="11"/>
  </w:num>
  <w:num w:numId="15" w16cid:durableId="868032729">
    <w:abstractNumId w:val="12"/>
  </w:num>
  <w:num w:numId="16" w16cid:durableId="82917683">
    <w:abstractNumId w:val="10"/>
  </w:num>
  <w:num w:numId="17" w16cid:durableId="1309282173">
    <w:abstractNumId w:val="9"/>
  </w:num>
  <w:num w:numId="18" w16cid:durableId="487210616">
    <w:abstractNumId w:val="7"/>
  </w:num>
  <w:num w:numId="19" w16cid:durableId="709064927">
    <w:abstractNumId w:val="6"/>
  </w:num>
  <w:num w:numId="20" w16cid:durableId="222525746">
    <w:abstractNumId w:val="5"/>
  </w:num>
  <w:num w:numId="21" w16cid:durableId="1613319645">
    <w:abstractNumId w:val="4"/>
  </w:num>
  <w:num w:numId="22" w16cid:durableId="1083530016">
    <w:abstractNumId w:val="8"/>
  </w:num>
  <w:num w:numId="23" w16cid:durableId="672759398">
    <w:abstractNumId w:val="3"/>
  </w:num>
  <w:num w:numId="24" w16cid:durableId="156072548">
    <w:abstractNumId w:val="2"/>
  </w:num>
  <w:num w:numId="25" w16cid:durableId="849105659">
    <w:abstractNumId w:val="1"/>
  </w:num>
  <w:num w:numId="26" w16cid:durableId="282923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6B1"/>
    <w:rsid w:val="00002076"/>
    <w:rsid w:val="00003E63"/>
    <w:rsid w:val="00006E91"/>
    <w:rsid w:val="000078DF"/>
    <w:rsid w:val="00023142"/>
    <w:rsid w:val="0002495F"/>
    <w:rsid w:val="00026F11"/>
    <w:rsid w:val="000274DD"/>
    <w:rsid w:val="00030E88"/>
    <w:rsid w:val="00047A79"/>
    <w:rsid w:val="00061736"/>
    <w:rsid w:val="00062F53"/>
    <w:rsid w:val="00073E11"/>
    <w:rsid w:val="00085C42"/>
    <w:rsid w:val="00093585"/>
    <w:rsid w:val="000935BC"/>
    <w:rsid w:val="000C612C"/>
    <w:rsid w:val="000D1059"/>
    <w:rsid w:val="000E6C83"/>
    <w:rsid w:val="000F6361"/>
    <w:rsid w:val="00113AAB"/>
    <w:rsid w:val="001165C3"/>
    <w:rsid w:val="001171C5"/>
    <w:rsid w:val="00127365"/>
    <w:rsid w:val="00161A2E"/>
    <w:rsid w:val="00165151"/>
    <w:rsid w:val="0017311E"/>
    <w:rsid w:val="0019379E"/>
    <w:rsid w:val="001A1F1A"/>
    <w:rsid w:val="001C5EE6"/>
    <w:rsid w:val="002016D3"/>
    <w:rsid w:val="00204516"/>
    <w:rsid w:val="002045AA"/>
    <w:rsid w:val="00230BBF"/>
    <w:rsid w:val="00254E74"/>
    <w:rsid w:val="00267F0C"/>
    <w:rsid w:val="00273696"/>
    <w:rsid w:val="00273A61"/>
    <w:rsid w:val="0027411F"/>
    <w:rsid w:val="00292EB1"/>
    <w:rsid w:val="002D2174"/>
    <w:rsid w:val="002D29C7"/>
    <w:rsid w:val="002E0194"/>
    <w:rsid w:val="002E39CB"/>
    <w:rsid w:val="002F4562"/>
    <w:rsid w:val="00300706"/>
    <w:rsid w:val="003008D8"/>
    <w:rsid w:val="00302277"/>
    <w:rsid w:val="0030761C"/>
    <w:rsid w:val="003245B2"/>
    <w:rsid w:val="00332DC6"/>
    <w:rsid w:val="00334F44"/>
    <w:rsid w:val="0034320F"/>
    <w:rsid w:val="00347EEF"/>
    <w:rsid w:val="003562F8"/>
    <w:rsid w:val="00360A8D"/>
    <w:rsid w:val="00364541"/>
    <w:rsid w:val="00366588"/>
    <w:rsid w:val="003732AB"/>
    <w:rsid w:val="0038447E"/>
    <w:rsid w:val="00386D0A"/>
    <w:rsid w:val="003874F7"/>
    <w:rsid w:val="00390C58"/>
    <w:rsid w:val="00392D8D"/>
    <w:rsid w:val="003B137C"/>
    <w:rsid w:val="003B208E"/>
    <w:rsid w:val="003B4920"/>
    <w:rsid w:val="003C070B"/>
    <w:rsid w:val="003C4E78"/>
    <w:rsid w:val="003D0ABE"/>
    <w:rsid w:val="003E217E"/>
    <w:rsid w:val="003E3133"/>
    <w:rsid w:val="003E5529"/>
    <w:rsid w:val="004040DC"/>
    <w:rsid w:val="00415895"/>
    <w:rsid w:val="00436C4E"/>
    <w:rsid w:val="0044245F"/>
    <w:rsid w:val="004770F6"/>
    <w:rsid w:val="00480E7F"/>
    <w:rsid w:val="00485561"/>
    <w:rsid w:val="00493F3A"/>
    <w:rsid w:val="004A2D29"/>
    <w:rsid w:val="004B32C2"/>
    <w:rsid w:val="004B67AB"/>
    <w:rsid w:val="004D2B16"/>
    <w:rsid w:val="004E04D7"/>
    <w:rsid w:val="004E30E2"/>
    <w:rsid w:val="004E48E3"/>
    <w:rsid w:val="004F5946"/>
    <w:rsid w:val="005154BE"/>
    <w:rsid w:val="005166D9"/>
    <w:rsid w:val="0052552F"/>
    <w:rsid w:val="005304C7"/>
    <w:rsid w:val="005314AF"/>
    <w:rsid w:val="00542213"/>
    <w:rsid w:val="00550943"/>
    <w:rsid w:val="005539B4"/>
    <w:rsid w:val="0055702C"/>
    <w:rsid w:val="00573D83"/>
    <w:rsid w:val="00575816"/>
    <w:rsid w:val="005761DB"/>
    <w:rsid w:val="00586976"/>
    <w:rsid w:val="00590896"/>
    <w:rsid w:val="005A014B"/>
    <w:rsid w:val="005A4093"/>
    <w:rsid w:val="005B0A8E"/>
    <w:rsid w:val="005F6BC3"/>
    <w:rsid w:val="00601F43"/>
    <w:rsid w:val="006173FA"/>
    <w:rsid w:val="00634FF8"/>
    <w:rsid w:val="00640185"/>
    <w:rsid w:val="00645A2C"/>
    <w:rsid w:val="00650A7E"/>
    <w:rsid w:val="00657AAE"/>
    <w:rsid w:val="00673D03"/>
    <w:rsid w:val="00685F7F"/>
    <w:rsid w:val="006902C3"/>
    <w:rsid w:val="00691A97"/>
    <w:rsid w:val="006A3994"/>
    <w:rsid w:val="006A594C"/>
    <w:rsid w:val="006B113A"/>
    <w:rsid w:val="006B1A84"/>
    <w:rsid w:val="006C23D3"/>
    <w:rsid w:val="006C6F19"/>
    <w:rsid w:val="006C7B26"/>
    <w:rsid w:val="006D2B8B"/>
    <w:rsid w:val="006F6784"/>
    <w:rsid w:val="0070471F"/>
    <w:rsid w:val="00711C22"/>
    <w:rsid w:val="00714693"/>
    <w:rsid w:val="00721AFC"/>
    <w:rsid w:val="0072611F"/>
    <w:rsid w:val="007474E2"/>
    <w:rsid w:val="00750533"/>
    <w:rsid w:val="007819E6"/>
    <w:rsid w:val="00786B0F"/>
    <w:rsid w:val="007C5267"/>
    <w:rsid w:val="007F222C"/>
    <w:rsid w:val="007F414C"/>
    <w:rsid w:val="008047EA"/>
    <w:rsid w:val="00825F59"/>
    <w:rsid w:val="0083100D"/>
    <w:rsid w:val="008312C3"/>
    <w:rsid w:val="0085218A"/>
    <w:rsid w:val="00886CF1"/>
    <w:rsid w:val="00891690"/>
    <w:rsid w:val="008957E6"/>
    <w:rsid w:val="008A20C7"/>
    <w:rsid w:val="008C0F0B"/>
    <w:rsid w:val="008C1669"/>
    <w:rsid w:val="008C3ECD"/>
    <w:rsid w:val="008E6244"/>
    <w:rsid w:val="008F2CF5"/>
    <w:rsid w:val="008F5D7A"/>
    <w:rsid w:val="008F7FD5"/>
    <w:rsid w:val="00921321"/>
    <w:rsid w:val="00926D99"/>
    <w:rsid w:val="00943292"/>
    <w:rsid w:val="0094496C"/>
    <w:rsid w:val="00945E9C"/>
    <w:rsid w:val="00947EA2"/>
    <w:rsid w:val="00957A04"/>
    <w:rsid w:val="009844EF"/>
    <w:rsid w:val="009908EC"/>
    <w:rsid w:val="009C0DE4"/>
    <w:rsid w:val="009C7C9F"/>
    <w:rsid w:val="009E0CB3"/>
    <w:rsid w:val="009E1912"/>
    <w:rsid w:val="009E3139"/>
    <w:rsid w:val="009E4650"/>
    <w:rsid w:val="00A00EE8"/>
    <w:rsid w:val="00A02DE5"/>
    <w:rsid w:val="00A15093"/>
    <w:rsid w:val="00A16093"/>
    <w:rsid w:val="00A214CC"/>
    <w:rsid w:val="00A3392A"/>
    <w:rsid w:val="00A36F94"/>
    <w:rsid w:val="00A42032"/>
    <w:rsid w:val="00A43258"/>
    <w:rsid w:val="00A43A77"/>
    <w:rsid w:val="00A45055"/>
    <w:rsid w:val="00A5452D"/>
    <w:rsid w:val="00A67C50"/>
    <w:rsid w:val="00A73833"/>
    <w:rsid w:val="00A7601E"/>
    <w:rsid w:val="00A767C9"/>
    <w:rsid w:val="00A80485"/>
    <w:rsid w:val="00A831C8"/>
    <w:rsid w:val="00A957CE"/>
    <w:rsid w:val="00AA467E"/>
    <w:rsid w:val="00AB1CB0"/>
    <w:rsid w:val="00AB3869"/>
    <w:rsid w:val="00AB6491"/>
    <w:rsid w:val="00AB683E"/>
    <w:rsid w:val="00AC798A"/>
    <w:rsid w:val="00AD0CE2"/>
    <w:rsid w:val="00AD20E3"/>
    <w:rsid w:val="00AE74B3"/>
    <w:rsid w:val="00AF510E"/>
    <w:rsid w:val="00AF59CE"/>
    <w:rsid w:val="00B01435"/>
    <w:rsid w:val="00B14028"/>
    <w:rsid w:val="00B16934"/>
    <w:rsid w:val="00B4143C"/>
    <w:rsid w:val="00B44355"/>
    <w:rsid w:val="00B47561"/>
    <w:rsid w:val="00B563AF"/>
    <w:rsid w:val="00B60FFA"/>
    <w:rsid w:val="00B65FE4"/>
    <w:rsid w:val="00B712C9"/>
    <w:rsid w:val="00B80BA1"/>
    <w:rsid w:val="00B8176D"/>
    <w:rsid w:val="00BA2760"/>
    <w:rsid w:val="00BB3CDB"/>
    <w:rsid w:val="00BB510D"/>
    <w:rsid w:val="00BB7E31"/>
    <w:rsid w:val="00BC0587"/>
    <w:rsid w:val="00BC115E"/>
    <w:rsid w:val="00BC5C42"/>
    <w:rsid w:val="00BC6F70"/>
    <w:rsid w:val="00BE417B"/>
    <w:rsid w:val="00BE525C"/>
    <w:rsid w:val="00BF2B7D"/>
    <w:rsid w:val="00C150B5"/>
    <w:rsid w:val="00C24526"/>
    <w:rsid w:val="00C265B4"/>
    <w:rsid w:val="00C34B6D"/>
    <w:rsid w:val="00C36EF5"/>
    <w:rsid w:val="00C410B6"/>
    <w:rsid w:val="00C4125B"/>
    <w:rsid w:val="00C4399D"/>
    <w:rsid w:val="00C462F3"/>
    <w:rsid w:val="00C540C6"/>
    <w:rsid w:val="00C777C4"/>
    <w:rsid w:val="00C82705"/>
    <w:rsid w:val="00CA0571"/>
    <w:rsid w:val="00CA13E5"/>
    <w:rsid w:val="00CB766A"/>
    <w:rsid w:val="00CE009D"/>
    <w:rsid w:val="00CE408A"/>
    <w:rsid w:val="00CF1C35"/>
    <w:rsid w:val="00CF5E31"/>
    <w:rsid w:val="00D15F48"/>
    <w:rsid w:val="00D171DC"/>
    <w:rsid w:val="00D17F77"/>
    <w:rsid w:val="00D33453"/>
    <w:rsid w:val="00D55C65"/>
    <w:rsid w:val="00D60347"/>
    <w:rsid w:val="00D60A46"/>
    <w:rsid w:val="00D80DD8"/>
    <w:rsid w:val="00D84C12"/>
    <w:rsid w:val="00D90796"/>
    <w:rsid w:val="00DA3D1A"/>
    <w:rsid w:val="00DA449C"/>
    <w:rsid w:val="00DA6DEF"/>
    <w:rsid w:val="00DC5FB5"/>
    <w:rsid w:val="00DC798D"/>
    <w:rsid w:val="00DD3683"/>
    <w:rsid w:val="00DE080C"/>
    <w:rsid w:val="00DE5E70"/>
    <w:rsid w:val="00DE73DB"/>
    <w:rsid w:val="00DF0C82"/>
    <w:rsid w:val="00E0470D"/>
    <w:rsid w:val="00E05EF6"/>
    <w:rsid w:val="00E20822"/>
    <w:rsid w:val="00E27AB6"/>
    <w:rsid w:val="00E36847"/>
    <w:rsid w:val="00E379EF"/>
    <w:rsid w:val="00E94AD0"/>
    <w:rsid w:val="00EB2CD2"/>
    <w:rsid w:val="00EC76B1"/>
    <w:rsid w:val="00ED019C"/>
    <w:rsid w:val="00EE44E9"/>
    <w:rsid w:val="00EF08FC"/>
    <w:rsid w:val="00EF14A2"/>
    <w:rsid w:val="00EF6CBD"/>
    <w:rsid w:val="00F11524"/>
    <w:rsid w:val="00F11D1A"/>
    <w:rsid w:val="00F124AB"/>
    <w:rsid w:val="00F313DD"/>
    <w:rsid w:val="00F431B8"/>
    <w:rsid w:val="00F65FEE"/>
    <w:rsid w:val="00F72357"/>
    <w:rsid w:val="00F832A5"/>
    <w:rsid w:val="00FA4CF0"/>
    <w:rsid w:val="00FA57EC"/>
    <w:rsid w:val="00FB5250"/>
    <w:rsid w:val="00FC5401"/>
    <w:rsid w:val="00FD4844"/>
    <w:rsid w:val="00FE076F"/>
    <w:rsid w:val="00FE2B71"/>
    <w:rsid w:val="00FE6604"/>
    <w:rsid w:val="00FE7DC4"/>
    <w:rsid w:val="00FF5719"/>
    <w:rsid w:val="00FF7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C9F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Times New Roman" w:hAnsi="Times New (W1)"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070B"/>
    <w:pPr>
      <w:widowControl w:val="0"/>
      <w:autoSpaceDE w:val="0"/>
      <w:autoSpaceDN w:val="0"/>
    </w:pPr>
    <w:rPr>
      <w:rFonts w:ascii="Calibri" w:eastAsia="Calibri" w:hAnsi="Calibri" w:cs="Calibri"/>
      <w:sz w:val="22"/>
      <w:szCs w:val="22"/>
    </w:rPr>
  </w:style>
  <w:style w:type="paragraph" w:styleId="Heading1">
    <w:name w:val="heading 1"/>
    <w:aliases w:val="h1"/>
    <w:basedOn w:val="Heading"/>
    <w:next w:val="BodyText"/>
    <w:qFormat/>
    <w:rsid w:val="00BA2760"/>
    <w:pPr>
      <w:numPr>
        <w:numId w:val="14"/>
      </w:numPr>
      <w:outlineLvl w:val="0"/>
    </w:pPr>
  </w:style>
  <w:style w:type="paragraph" w:styleId="Heading2">
    <w:name w:val="heading 2"/>
    <w:aliases w:val="h2"/>
    <w:basedOn w:val="Heading"/>
    <w:next w:val="BodyText"/>
    <w:qFormat/>
    <w:rsid w:val="00BA2760"/>
    <w:pPr>
      <w:numPr>
        <w:ilvl w:val="1"/>
        <w:numId w:val="14"/>
      </w:numPr>
      <w:outlineLvl w:val="1"/>
    </w:pPr>
  </w:style>
  <w:style w:type="paragraph" w:styleId="Heading3">
    <w:name w:val="heading 3"/>
    <w:aliases w:val="h3"/>
    <w:basedOn w:val="Heading"/>
    <w:next w:val="BodyText"/>
    <w:qFormat/>
    <w:rsid w:val="00BA2760"/>
    <w:pPr>
      <w:numPr>
        <w:ilvl w:val="2"/>
        <w:numId w:val="14"/>
      </w:numPr>
      <w:outlineLvl w:val="2"/>
    </w:pPr>
  </w:style>
  <w:style w:type="paragraph" w:styleId="Heading4">
    <w:name w:val="heading 4"/>
    <w:aliases w:val="h4"/>
    <w:basedOn w:val="Heading"/>
    <w:next w:val="BodyText"/>
    <w:qFormat/>
    <w:rsid w:val="00BA2760"/>
    <w:pPr>
      <w:numPr>
        <w:ilvl w:val="3"/>
        <w:numId w:val="14"/>
      </w:numPr>
      <w:outlineLvl w:val="3"/>
    </w:pPr>
  </w:style>
  <w:style w:type="paragraph" w:styleId="Heading5">
    <w:name w:val="heading 5"/>
    <w:aliases w:val="h5"/>
    <w:basedOn w:val="Heading"/>
    <w:next w:val="BodyText"/>
    <w:qFormat/>
    <w:rsid w:val="00BA2760"/>
    <w:pPr>
      <w:numPr>
        <w:ilvl w:val="4"/>
        <w:numId w:val="14"/>
      </w:numPr>
      <w:outlineLvl w:val="4"/>
    </w:pPr>
  </w:style>
  <w:style w:type="paragraph" w:styleId="Heading6">
    <w:name w:val="heading 6"/>
    <w:aliases w:val="h6"/>
    <w:basedOn w:val="Heading"/>
    <w:next w:val="Normal"/>
    <w:qFormat/>
    <w:rsid w:val="00BA2760"/>
    <w:pPr>
      <w:numPr>
        <w:ilvl w:val="5"/>
        <w:numId w:val="14"/>
      </w:numPr>
      <w:outlineLvl w:val="5"/>
    </w:pPr>
  </w:style>
  <w:style w:type="paragraph" w:styleId="Heading7">
    <w:name w:val="heading 7"/>
    <w:aliases w:val="h7"/>
    <w:basedOn w:val="Heading"/>
    <w:next w:val="Normal"/>
    <w:qFormat/>
    <w:rsid w:val="00BA2760"/>
    <w:pPr>
      <w:numPr>
        <w:ilvl w:val="6"/>
        <w:numId w:val="14"/>
      </w:numPr>
      <w:outlineLvl w:val="6"/>
    </w:pPr>
  </w:style>
  <w:style w:type="paragraph" w:styleId="Heading8">
    <w:name w:val="heading 8"/>
    <w:aliases w:val="h8"/>
    <w:basedOn w:val="Heading"/>
    <w:next w:val="Normal"/>
    <w:qFormat/>
    <w:rsid w:val="00BA2760"/>
    <w:pPr>
      <w:numPr>
        <w:ilvl w:val="7"/>
        <w:numId w:val="14"/>
      </w:numPr>
      <w:outlineLvl w:val="7"/>
    </w:pPr>
  </w:style>
  <w:style w:type="paragraph" w:styleId="Heading9">
    <w:name w:val="heading 9"/>
    <w:aliases w:val="h9"/>
    <w:basedOn w:val="Heading"/>
    <w:next w:val="Normal"/>
    <w:qFormat/>
    <w:rsid w:val="00BA2760"/>
    <w:pPr>
      <w:numPr>
        <w:ilvl w:val="8"/>
        <w:numId w:val="14"/>
      </w:num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65FE4"/>
    <w:pPr>
      <w:widowControl/>
      <w:autoSpaceDE/>
      <w:autoSpaceDN/>
      <w:spacing w:before="240" w:after="240"/>
      <w:jc w:val="both"/>
    </w:pPr>
    <w:rPr>
      <w:rFonts w:ascii="Times New Roman" w:eastAsia="Times New Roman" w:hAnsi="Times New Roman" w:cs="Times New Roman"/>
      <w:sz w:val="24"/>
      <w:szCs w:val="20"/>
    </w:rPr>
  </w:style>
  <w:style w:type="paragraph" w:customStyle="1" w:styleId="DocID">
    <w:name w:val="DocID"/>
    <w:basedOn w:val="Footer"/>
    <w:next w:val="Footer"/>
    <w:link w:val="DocIDChar"/>
    <w:rsid w:val="003C070B"/>
    <w:pPr>
      <w:tabs>
        <w:tab w:val="clear" w:pos="4320"/>
        <w:tab w:val="clear" w:pos="8640"/>
      </w:tabs>
      <w:spacing w:before="0"/>
      <w:jc w:val="left"/>
    </w:pPr>
    <w:rPr>
      <w:sz w:val="18"/>
    </w:rPr>
  </w:style>
  <w:style w:type="paragraph" w:customStyle="1" w:styleId="Heading">
    <w:name w:val="Heading"/>
    <w:basedOn w:val="Normal"/>
    <w:rsid w:val="00BA2760"/>
    <w:pPr>
      <w:widowControl/>
      <w:autoSpaceDE/>
      <w:autoSpaceDN/>
      <w:spacing w:before="240"/>
      <w:jc w:val="both"/>
    </w:pPr>
    <w:rPr>
      <w:rFonts w:ascii="Times New Roman" w:eastAsia="Times New Roman" w:hAnsi="Times New Roman" w:cs="Times New Roman"/>
      <w:sz w:val="24"/>
      <w:szCs w:val="20"/>
    </w:rPr>
  </w:style>
  <w:style w:type="paragraph" w:customStyle="1" w:styleId="heading1notoc">
    <w:name w:val="heading 1 (no toc)"/>
    <w:basedOn w:val="Heading1"/>
    <w:next w:val="Normal"/>
    <w:rsid w:val="00BA2760"/>
    <w:pPr>
      <w:numPr>
        <w:numId w:val="0"/>
      </w:numPr>
      <w:outlineLvl w:val="9"/>
    </w:pPr>
  </w:style>
  <w:style w:type="paragraph" w:customStyle="1" w:styleId="heading2notoc">
    <w:name w:val="heading 2 (no toc)"/>
    <w:basedOn w:val="Heading2"/>
    <w:next w:val="Normal"/>
    <w:rsid w:val="00BA2760"/>
    <w:pPr>
      <w:numPr>
        <w:ilvl w:val="0"/>
        <w:numId w:val="0"/>
      </w:numPr>
      <w:outlineLvl w:val="9"/>
    </w:pPr>
  </w:style>
  <w:style w:type="paragraph" w:customStyle="1" w:styleId="heading3notoc">
    <w:name w:val="heading 3 (no toc)"/>
    <w:basedOn w:val="Heading3"/>
    <w:next w:val="Normal"/>
    <w:rsid w:val="00BA2760"/>
    <w:pPr>
      <w:numPr>
        <w:ilvl w:val="0"/>
        <w:numId w:val="0"/>
      </w:numPr>
      <w:outlineLvl w:val="9"/>
    </w:pPr>
  </w:style>
  <w:style w:type="paragraph" w:customStyle="1" w:styleId="heading4notoc">
    <w:name w:val="heading 4 (no toc)"/>
    <w:basedOn w:val="Heading4"/>
    <w:next w:val="Normal"/>
    <w:rsid w:val="00BA2760"/>
    <w:pPr>
      <w:numPr>
        <w:ilvl w:val="0"/>
        <w:numId w:val="0"/>
      </w:numPr>
      <w:outlineLvl w:val="9"/>
    </w:pPr>
  </w:style>
  <w:style w:type="paragraph" w:customStyle="1" w:styleId="heading5notoc">
    <w:name w:val="heading 5 (no toc)"/>
    <w:basedOn w:val="Heading5"/>
    <w:next w:val="Normal"/>
    <w:rsid w:val="00BA2760"/>
    <w:pPr>
      <w:numPr>
        <w:ilvl w:val="0"/>
        <w:numId w:val="0"/>
      </w:numPr>
      <w:outlineLvl w:val="9"/>
    </w:pPr>
  </w:style>
  <w:style w:type="paragraph" w:styleId="TOC1">
    <w:name w:val="toc 1"/>
    <w:basedOn w:val="Normal"/>
    <w:next w:val="Normal"/>
    <w:autoRedefine/>
    <w:semiHidden/>
    <w:rsid w:val="00BA2760"/>
    <w:pPr>
      <w:widowControl/>
      <w:autoSpaceDE/>
      <w:autoSpaceDN/>
      <w:spacing w:before="240"/>
      <w:jc w:val="both"/>
    </w:pPr>
    <w:rPr>
      <w:rFonts w:ascii="Times New Roman" w:eastAsia="Times New Roman" w:hAnsi="Times New Roman" w:cs="Times New Roman"/>
      <w:sz w:val="24"/>
      <w:szCs w:val="20"/>
    </w:rPr>
  </w:style>
  <w:style w:type="paragraph" w:styleId="TOC2">
    <w:name w:val="toc 2"/>
    <w:basedOn w:val="Normal"/>
    <w:next w:val="Normal"/>
    <w:autoRedefine/>
    <w:semiHidden/>
    <w:rsid w:val="00BA2760"/>
    <w:pPr>
      <w:widowControl/>
      <w:autoSpaceDE/>
      <w:autoSpaceDN/>
      <w:spacing w:before="240"/>
      <w:ind w:left="240"/>
      <w:jc w:val="both"/>
    </w:pPr>
    <w:rPr>
      <w:rFonts w:ascii="Times New Roman" w:eastAsia="Times New Roman" w:hAnsi="Times New Roman" w:cs="Times New Roman"/>
      <w:sz w:val="24"/>
      <w:szCs w:val="20"/>
    </w:rPr>
  </w:style>
  <w:style w:type="paragraph" w:styleId="TOC3">
    <w:name w:val="toc 3"/>
    <w:basedOn w:val="Normal"/>
    <w:next w:val="Normal"/>
    <w:autoRedefine/>
    <w:semiHidden/>
    <w:rsid w:val="00BA2760"/>
    <w:pPr>
      <w:widowControl/>
      <w:autoSpaceDE/>
      <w:autoSpaceDN/>
      <w:spacing w:before="240"/>
      <w:ind w:left="480"/>
      <w:jc w:val="both"/>
    </w:pPr>
    <w:rPr>
      <w:rFonts w:ascii="Times New Roman" w:eastAsia="Times New Roman" w:hAnsi="Times New Roman" w:cs="Times New Roman"/>
      <w:sz w:val="24"/>
      <w:szCs w:val="20"/>
    </w:rPr>
  </w:style>
  <w:style w:type="paragraph" w:styleId="Header">
    <w:name w:val="header"/>
    <w:basedOn w:val="Normal"/>
    <w:rsid w:val="00BA2760"/>
    <w:pPr>
      <w:widowControl/>
      <w:tabs>
        <w:tab w:val="center" w:pos="4320"/>
        <w:tab w:val="right" w:pos="8640"/>
      </w:tabs>
      <w:autoSpaceDE/>
      <w:autoSpaceDN/>
      <w:spacing w:before="240"/>
      <w:jc w:val="both"/>
    </w:pPr>
    <w:rPr>
      <w:rFonts w:ascii="Times New Roman" w:eastAsia="Times New Roman" w:hAnsi="Times New Roman" w:cs="Times New Roman"/>
      <w:sz w:val="24"/>
      <w:szCs w:val="20"/>
    </w:rPr>
  </w:style>
  <w:style w:type="paragraph" w:styleId="Footer">
    <w:name w:val="footer"/>
    <w:basedOn w:val="Normal"/>
    <w:rsid w:val="00BA2760"/>
    <w:pPr>
      <w:widowControl/>
      <w:tabs>
        <w:tab w:val="center" w:pos="4320"/>
        <w:tab w:val="right" w:pos="8640"/>
      </w:tabs>
      <w:autoSpaceDE/>
      <w:autoSpaceDN/>
      <w:spacing w:before="240"/>
      <w:jc w:val="both"/>
    </w:pPr>
    <w:rPr>
      <w:rFonts w:ascii="Times New Roman" w:eastAsia="Times New Roman" w:hAnsi="Times New Roman" w:cs="Times New Roman"/>
      <w:sz w:val="24"/>
      <w:szCs w:val="20"/>
    </w:rPr>
  </w:style>
  <w:style w:type="character" w:styleId="PageNumber">
    <w:name w:val="page number"/>
    <w:basedOn w:val="DefaultParagraphFont"/>
    <w:rsid w:val="00BA2760"/>
  </w:style>
  <w:style w:type="character" w:customStyle="1" w:styleId="BodyTextChar">
    <w:name w:val="Body Text Char"/>
    <w:basedOn w:val="DefaultParagraphFont"/>
    <w:link w:val="BodyText"/>
    <w:rsid w:val="00B65FE4"/>
    <w:rPr>
      <w:rFonts w:ascii="Times New Roman" w:hAnsi="Times New Roman"/>
      <w:sz w:val="24"/>
    </w:rPr>
  </w:style>
  <w:style w:type="paragraph" w:styleId="BodyText2">
    <w:name w:val="Body Text 2"/>
    <w:basedOn w:val="Normal"/>
    <w:link w:val="BodyText2Char"/>
    <w:rsid w:val="00B65FE4"/>
    <w:pPr>
      <w:widowControl/>
      <w:autoSpaceDE/>
      <w:autoSpaceDN/>
      <w:spacing w:before="240" w:after="240" w:line="360" w:lineRule="auto"/>
      <w:jc w:val="both"/>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B65FE4"/>
    <w:rPr>
      <w:rFonts w:ascii="Times New Roman" w:hAnsi="Times New Roman"/>
      <w:sz w:val="24"/>
    </w:rPr>
  </w:style>
  <w:style w:type="paragraph" w:styleId="BodyText3">
    <w:name w:val="Body Text 3"/>
    <w:basedOn w:val="Normal"/>
    <w:link w:val="BodyText3Char"/>
    <w:rsid w:val="00B65FE4"/>
    <w:pPr>
      <w:widowControl/>
      <w:autoSpaceDE/>
      <w:autoSpaceDN/>
      <w:spacing w:before="240" w:after="240"/>
      <w:jc w:val="both"/>
    </w:pPr>
    <w:rPr>
      <w:rFonts w:ascii="Times New Roman" w:eastAsia="Times New Roman" w:hAnsi="Times New Roman" w:cs="Times New Roman"/>
      <w:sz w:val="24"/>
      <w:szCs w:val="16"/>
    </w:rPr>
  </w:style>
  <w:style w:type="character" w:customStyle="1" w:styleId="BodyText3Char">
    <w:name w:val="Body Text 3 Char"/>
    <w:basedOn w:val="DefaultParagraphFont"/>
    <w:link w:val="BodyText3"/>
    <w:rsid w:val="00B65FE4"/>
    <w:rPr>
      <w:rFonts w:ascii="Times New Roman" w:hAnsi="Times New Roman"/>
      <w:sz w:val="24"/>
      <w:szCs w:val="16"/>
    </w:rPr>
  </w:style>
  <w:style w:type="paragraph" w:styleId="BodyTextFirstIndent">
    <w:name w:val="Body Text First Indent"/>
    <w:basedOn w:val="BodyText"/>
    <w:link w:val="BodyTextFirstIndentChar"/>
    <w:qFormat/>
    <w:rsid w:val="00B65FE4"/>
    <w:pPr>
      <w:spacing w:after="0"/>
      <w:ind w:firstLine="720"/>
    </w:pPr>
  </w:style>
  <w:style w:type="character" w:customStyle="1" w:styleId="BodyTextFirstIndentChar">
    <w:name w:val="Body Text First Indent Char"/>
    <w:basedOn w:val="BodyTextChar"/>
    <w:link w:val="BodyTextFirstIndent"/>
    <w:rsid w:val="00B65FE4"/>
    <w:rPr>
      <w:rFonts w:ascii="Times New Roman" w:hAnsi="Times New Roman"/>
      <w:sz w:val="24"/>
    </w:rPr>
  </w:style>
  <w:style w:type="paragraph" w:styleId="Title">
    <w:name w:val="Title"/>
    <w:basedOn w:val="BodyText"/>
    <w:next w:val="BodyText"/>
    <w:link w:val="TitleChar"/>
    <w:qFormat/>
    <w:rsid w:val="00891690"/>
    <w:pPr>
      <w:keepNext/>
      <w:jc w:val="center"/>
    </w:pPr>
    <w:rPr>
      <w:rFonts w:eastAsiaTheme="majorEastAsia" w:cstheme="majorBidi"/>
      <w:b/>
      <w:caps/>
      <w:color w:val="000000" w:themeColor="text1"/>
      <w:szCs w:val="52"/>
    </w:rPr>
  </w:style>
  <w:style w:type="character" w:customStyle="1" w:styleId="TitleChar">
    <w:name w:val="Title Char"/>
    <w:basedOn w:val="DefaultParagraphFont"/>
    <w:link w:val="Title"/>
    <w:rsid w:val="00891690"/>
    <w:rPr>
      <w:rFonts w:ascii="Times New Roman" w:eastAsiaTheme="majorEastAsia" w:hAnsi="Times New Roman" w:cstheme="majorBidi"/>
      <w:b/>
      <w:caps/>
      <w:color w:val="000000" w:themeColor="text1"/>
      <w:sz w:val="24"/>
      <w:szCs w:val="52"/>
    </w:rPr>
  </w:style>
  <w:style w:type="character" w:styleId="Hyperlink">
    <w:name w:val="Hyperlink"/>
    <w:basedOn w:val="DefaultParagraphFont"/>
    <w:unhideWhenUsed/>
    <w:rsid w:val="00711C22"/>
    <w:rPr>
      <w:color w:val="0000FF" w:themeColor="hyperlink"/>
      <w:u w:val="single"/>
    </w:rPr>
  </w:style>
  <w:style w:type="character" w:customStyle="1" w:styleId="UnresolvedMention1">
    <w:name w:val="Unresolved Mention1"/>
    <w:basedOn w:val="DefaultParagraphFont"/>
    <w:uiPriority w:val="99"/>
    <w:semiHidden/>
    <w:unhideWhenUsed/>
    <w:rsid w:val="00711C22"/>
    <w:rPr>
      <w:color w:val="605E5C"/>
      <w:shd w:val="clear" w:color="auto" w:fill="E1DFDD"/>
    </w:rPr>
  </w:style>
  <w:style w:type="character" w:customStyle="1" w:styleId="DocIDChar">
    <w:name w:val="DocID Char"/>
    <w:basedOn w:val="DefaultParagraphFont"/>
    <w:link w:val="DocID"/>
    <w:rsid w:val="003C070B"/>
    <w:rPr>
      <w:rFonts w:ascii="Times New Roman" w:hAnsi="Times New Roman"/>
      <w:sz w:val="18"/>
      <w:lang w:val="en-US" w:eastAsia="en-US"/>
    </w:rPr>
  </w:style>
  <w:style w:type="paragraph" w:styleId="Revision">
    <w:name w:val="Revision"/>
    <w:hidden/>
    <w:uiPriority w:val="99"/>
    <w:semiHidden/>
    <w:rsid w:val="00A214CC"/>
    <w:rPr>
      <w:rFonts w:ascii="Times New Roman" w:hAnsi="Times New Roman"/>
      <w:sz w:val="24"/>
    </w:rPr>
  </w:style>
  <w:style w:type="character" w:styleId="CommentReference">
    <w:name w:val="annotation reference"/>
    <w:basedOn w:val="DefaultParagraphFont"/>
    <w:semiHidden/>
    <w:unhideWhenUsed/>
    <w:rsid w:val="00B712C9"/>
    <w:rPr>
      <w:sz w:val="16"/>
      <w:szCs w:val="16"/>
    </w:rPr>
  </w:style>
  <w:style w:type="paragraph" w:styleId="CommentText">
    <w:name w:val="annotation text"/>
    <w:basedOn w:val="Normal"/>
    <w:link w:val="CommentTextChar"/>
    <w:unhideWhenUsed/>
    <w:rsid w:val="00B712C9"/>
    <w:rPr>
      <w:sz w:val="20"/>
      <w:szCs w:val="20"/>
    </w:rPr>
  </w:style>
  <w:style w:type="character" w:customStyle="1" w:styleId="CommentTextChar">
    <w:name w:val="Comment Text Char"/>
    <w:basedOn w:val="DefaultParagraphFont"/>
    <w:link w:val="CommentText"/>
    <w:rsid w:val="00B712C9"/>
    <w:rPr>
      <w:rFonts w:ascii="Calibri" w:eastAsia="Calibri" w:hAnsi="Calibri" w:cs="Calibri"/>
    </w:rPr>
  </w:style>
  <w:style w:type="paragraph" w:styleId="CommentSubject">
    <w:name w:val="annotation subject"/>
    <w:basedOn w:val="CommentText"/>
    <w:next w:val="CommentText"/>
    <w:link w:val="CommentSubjectChar"/>
    <w:semiHidden/>
    <w:unhideWhenUsed/>
    <w:rsid w:val="00B712C9"/>
    <w:rPr>
      <w:b/>
      <w:bCs/>
    </w:rPr>
  </w:style>
  <w:style w:type="character" w:customStyle="1" w:styleId="CommentSubjectChar">
    <w:name w:val="Comment Subject Char"/>
    <w:basedOn w:val="CommentTextChar"/>
    <w:link w:val="CommentSubject"/>
    <w:semiHidden/>
    <w:rsid w:val="00B712C9"/>
    <w:rPr>
      <w:rFonts w:ascii="Calibri" w:eastAsia="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Esquire%20Innovations\iCreate\iTemplates\iBlank%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ACTIVE!46488247.4</documentid>
  <senderid>JKRANE</senderid>
  <senderemail>JKRANE@MLTAIKINS.COM</senderemail>
  <lastmodified>2026-08-14T11:36:00.0000000-04:00</lastmodified>
  <database>ACTIVE</database>
</properties>
</file>

<file path=customXml/itemProps1.xml><?xml version="1.0" encoding="utf-8"?>
<ds:datastoreItem xmlns:ds="http://schemas.openxmlformats.org/officeDocument/2006/customXml" ds:itemID="{79269139-C0CD-4E7F-85ED-A96AAAAC6A30}">
  <ds:schemaRefs>
    <ds:schemaRef ds:uri="http://schemas.openxmlformats.org/officeDocument/2006/bibliography"/>
  </ds:schemaRefs>
</ds:datastoreItem>
</file>

<file path=customXml/itemProps2.xml><?xml version="1.0" encoding="utf-8"?>
<ds:datastoreItem xmlns:ds="http://schemas.openxmlformats.org/officeDocument/2006/customXml" ds:itemID="{01B16FF7-9D87-46E6-B723-D17429C3B801}">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iBlank Portrait</Template>
  <TotalTime>0</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Blank Portrait</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Portrait</dc:title>
  <dc:subject/>
  <dc:creator/>
  <cp:keywords/>
  <dc:description>Esquire Innovations, Inc. © 1999-2007</dc:description>
  <cp:lastModifiedBy/>
  <cp:revision>1</cp:revision>
  <cp:lastPrinted>1900-01-01T07:00:00Z</cp:lastPrinted>
  <dcterms:created xsi:type="dcterms:W3CDTF">2026-08-15T10:09:00Z</dcterms:created>
  <dcterms:modified xsi:type="dcterms:W3CDTF">2026-08-17T02:17:00Z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ActiveBits">
    <vt:lpwstr>32768</vt:lpwstr>
  </property>
  <property fmtid="{D5CDD505-2E9C-101B-9397-08002B2CF9AE}" pid="3" name="CUS_DocIDChunk0">
    <vt:lpwstr>46488247</vt:lpwstr>
  </property>
  <property fmtid="{D5CDD505-2E9C-101B-9397-08002B2CF9AE}" pid="4" name="CUS_DocIDFormatDateTime">
    <vt:lpwstr>M/d/yy</vt:lpwstr>
  </property>
  <property fmtid="{D5CDD505-2E9C-101B-9397-08002B2CF9AE}" pid="5" name="CUS_DocIDLocation">
    <vt:lpwstr>EVERY_PAGE</vt:lpwstr>
  </property>
  <property fmtid="{D5CDD505-2E9C-101B-9397-08002B2CF9AE}" pid="6" name="CUS_DocIDReference">
    <vt:lpwstr>everyPage</vt:lpwstr>
  </property>
  <property fmtid="{D5CDD505-2E9C-101B-9397-08002B2CF9AE}" pid="7" name="CUS_DocIDString">
    <vt:lpwstr>46488247</vt:lpwstr>
  </property>
  <property fmtid="{D5CDD505-2E9C-101B-9397-08002B2CF9AE}" pid="8" name="icVersion">
    <vt:lpwstr>V4\EP4</vt:lpwstr>
  </property>
</Properties>
</file>